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SILabel"/>
      </w:pPr>
      <w:r>
        <w:t>FOR AUTHORS  /  SCHOLARLY STANDARDS</w:t>
      </w:r>
    </w:p>
    <w:p>
      <w:pPr>
        <w:pStyle w:val="KSITitle"/>
      </w:pPr>
      <w:r>
        <w:t>Article Types and Manuscript Quality Criteria</w:t>
      </w:r>
    </w:p>
    <w:p>
      <w:pPr>
        <w:pStyle w:val="KSISubtitle"/>
      </w:pPr>
      <w:r>
        <w:t>What the editorial office expects from the five peer-reviewed article types</w:t>
      </w:r>
    </w:p>
    <w:p>
      <w:pPr>
        <w:pStyle w:val="KSILead"/>
      </w:pPr>
      <w:r>
        <w:t>KSI Transactions on Knowledge Society publishes original research, scholarly reviews, conceptual studies, methodological studies and scholarly case studies. This companion document explains the minimum structure and evidential standards that make a submission ready for scientific assessment. It supplements the two-column Submission Template, Author Guidelines, Peer Review Policy and Publication Ethics. It does not replace scholarly peer review.</w:t>
      </w:r>
    </w:p>
    <w:p>
      <w:pPr>
        <w:pStyle w:val="KSISection"/>
        <w:keepNext/>
      </w:pPr>
      <w:r>
        <w:t>1. Requirements applying to every scholarly article</w:t>
      </w:r>
    </w:p>
    <w:p>
      <w:pPr/>
      <w:r>
        <w:rPr>
          <w:b/>
          <w:color w:val="18364E"/>
        </w:rPr>
        <w:t xml:space="preserve">Contribution.  </w:t>
      </w:r>
      <w:r>
        <w:t>The paper must specify its distinct, defensible scholarly addition: new results, a critical synthesis, a developed conceptual argument, a validated method, or analytically transferable case insights. A useful topic by itself is not a contribution.</w:t>
      </w:r>
    </w:p>
    <w:p>
      <w:pPr/>
      <w:r>
        <w:rPr>
          <w:b/>
          <w:color w:val="18364E"/>
        </w:rPr>
        <w:t xml:space="preserve">Transparency.  </w:t>
      </w:r>
      <w:r>
        <w:t>The aim/questions, sources or materials, and reasoning/analysis must be traceable and appropriate to article type. Authors must separate observed evidence, assumptions, interpretation and recommendations.</w:t>
      </w:r>
    </w:p>
    <w:p>
      <w:pPr/>
      <w:r>
        <w:rPr>
          <w:b/>
          <w:color w:val="18364E"/>
        </w:rPr>
        <w:t xml:space="preserve">Common components.  </w:t>
      </w:r>
      <w:r>
        <w:t>Every paper includes a title, abstract, keywords, mandatory UDC and JEL classifications, Introduction, a suitably named approach/method section, substantial analytical body, Discussion or equivalent critical evaluation, Conclusions and APA 7 references.</w:t>
      </w:r>
    </w:p>
    <w:p>
      <w:pPr/>
      <w:r>
        <w:rPr>
          <w:b/>
          <w:color w:val="18364E"/>
        </w:rPr>
        <w:t xml:space="preserve">Language and appearance.  </w:t>
      </w:r>
      <w:r>
        <w:t>Submit the fully author-formatted, A4 two-column Word article using the journal template. Authors provide both FULL and ANONYMISED versions with identical scholarly content and formatting. Authors correct all layout deficiencies identified at technical screening.</w:t>
      </w:r>
    </w:p>
    <w:p>
      <w:pPr/>
      <w:r>
        <w:rPr>
          <w:b/>
          <w:color w:val="18364E"/>
        </w:rPr>
        <w:t xml:space="preserve">Publication integrity.  </w:t>
      </w:r>
      <w:r>
        <w:t>All papers comply with originality, authorship, ethics, conflict-of-interest, funding, third-party rights and generative AI disclosure rules. Data availability is stated when applicable; confidential data need not be published.</w:t>
      </w:r>
    </w:p>
    <w:p>
      <w:pPr/>
      <w:r>
        <w:rPr>
          <w:b/>
          <w:color w:val="18364E"/>
        </w:rPr>
        <w:t xml:space="preserve">Peer review.  </w:t>
      </w:r>
      <w:r>
        <w:t>Each scholarly article is subject to double-anonymous review by at least two independent external reviewers before it can be accepted. Meeting these technical criteria does not guarantee acceptance.</w:t>
      </w:r>
    </w:p>
    <w:p>
      <w:pPr>
        <w:pStyle w:val="KSISection"/>
        <w:keepNext/>
      </w:pPr>
      <w:r>
        <w:t>2. Shared section-by-section minimum standards</w:t>
      </w:r>
    </w:p>
    <w:p>
      <w:pPr/>
      <w:r>
        <w:rPr>
          <w:b/>
          <w:color w:val="18364E"/>
        </w:rPr>
        <w:t xml:space="preserve">Title and abstract.  </w:t>
      </w:r>
      <w:r>
        <w:t>The title accurately signals the subject and, where useful, article type. The 150–250-word abstract normally gives the problem/aim, approach, main findings or argument and contribution, with no exaggerated claims. Include 4–7 keywords plus UDC and JEL.</w:t>
      </w:r>
    </w:p>
    <w:p>
      <w:pPr/>
      <w:r>
        <w:rPr>
          <w:b/>
          <w:color w:val="18364E"/>
        </w:rPr>
        <w:t xml:space="preserve">Introduction.  </w:t>
      </w:r>
      <w:r>
        <w:t>Present the problem in context; cite representative scholarship to show a defensible research gap; state a clear aim or question; explain why the proposed contribution matters. A general discussion without an explicit objective is insufficient.</w:t>
      </w:r>
    </w:p>
    <w:p>
      <w:pPr/>
      <w:r>
        <w:rPr>
          <w:b/>
          <w:color w:val="18364E"/>
        </w:rPr>
        <w:t xml:space="preserve">Literature / theory.  </w:t>
      </w:r>
      <w:r>
        <w:t>Demonstrate command of relevant scholarship through comparison, critical assessment and appropriate conceptual definitions. An unsupported list of citations is not a literature review.</w:t>
      </w:r>
    </w:p>
    <w:p>
      <w:pPr/>
      <w:r>
        <w:rPr>
          <w:b/>
          <w:color w:val="18364E"/>
        </w:rPr>
        <w:t xml:space="preserve">Method / scholarly approach.  </w:t>
      </w:r>
      <w:r>
        <w:t>Identify how evidence was selected and analysed or how theoretical propositions were developed. Present enough information for independent assessment; if the article has no empirical dataset, explain its conceptual or review procedure honestly.</w:t>
      </w:r>
    </w:p>
    <w:p>
      <w:pPr/>
      <w:r>
        <w:rPr>
          <w:b/>
          <w:color w:val="18364E"/>
        </w:rPr>
        <w:t xml:space="preserve">Results / main analysis.  </w:t>
      </w:r>
      <w:r>
        <w:t>Give the actual findings, synthesis, proposed model or case analysis and show how they arise from the method or argument. Label figures, tables and sources; distinguish original work from literature-derived claims.</w:t>
      </w:r>
    </w:p>
    <w:p>
      <w:pPr/>
      <w:r>
        <w:rPr>
          <w:b/>
          <w:color w:val="18364E"/>
        </w:rPr>
        <w:t xml:space="preserve">Discussion and conclusions.  </w:t>
      </w:r>
      <w:r>
        <w:t>Connect outputs to the research aim and existing literature; note alternatives, uncertainty and limitations. Conclusions must answer the declared aim and may not introduce unsupported new results.</w:t>
      </w:r>
    </w:p>
    <w:p>
      <w:pPr/>
      <w:r>
        <w:rPr>
          <w:b/>
          <w:color w:val="18364E"/>
        </w:rPr>
        <w:t xml:space="preserve">References and declarations.  </w:t>
      </w:r>
      <w:r>
        <w:t>Use verifiable scholarly sources and APA 7. Report funding, conflicts, ethics, AI and data availability appropriately, keeping identifying details out of the anonymous file.</w:t>
      </w:r>
    </w:p>
    <w:p>
      <w:pPr>
        <w:pStyle w:val="KSISection"/>
        <w:keepNext/>
      </w:pPr>
      <w:r>
        <w:t>3. Article type A — Original research article</w:t>
      </w:r>
    </w:p>
    <w:p>
      <w:pPr/>
      <w:r>
        <w:t>This is a report of original empirical research based on new or newly analysed qualitative, quantitative or mixed-method evidence. Novelty may reside in the data, research question, analysis, results or application of a rigorous approach.</w:t>
      </w:r>
    </w:p>
    <w:p>
      <w:pPr/>
      <w:r>
        <w:rPr>
          <w:b/>
          <w:color w:val="18364E"/>
        </w:rPr>
        <w:t xml:space="preserve">Recommended structure:  </w:t>
      </w:r>
      <w:r>
        <w:t>Introduction → Literature Review / Hypotheses → Research Design and Methods → Results → Discussion → Conclusions → References.</w:t>
      </w:r>
    </w:p>
    <w:p>
      <w:pPr/>
      <w:r>
        <w:rPr>
          <w:b/>
          <w:color w:val="18364E"/>
        </w:rPr>
        <w:t xml:space="preserve">Research question.  </w:t>
      </w:r>
      <w:r>
        <w:t>The aim and, where relevant, hypotheses are explicitly testable or investigable, logically connected to the literature and matched to the design.</w:t>
      </w:r>
    </w:p>
    <w:p>
      <w:pPr/>
      <w:r>
        <w:rPr>
          <w:b/>
          <w:color w:val="18364E"/>
        </w:rPr>
        <w:t xml:space="preserve">Methods.  </w:t>
      </w:r>
      <w:r>
        <w:t>Describe study setting, sampling/cases, time period, source of data, measures or instruments, data preparation, analysis procedures and, where applicable, ethical approval. Disclose exclusions and major deviations.</w:t>
      </w:r>
    </w:p>
    <w:p>
      <w:pPr/>
      <w:r>
        <w:rPr>
          <w:b/>
          <w:color w:val="18364E"/>
        </w:rPr>
        <w:t xml:space="preserve">Results.  </w:t>
      </w:r>
      <w:r>
        <w:t>Provide numerical estimates with appropriate uncertainty, or qualitative themes supported by attributable evidence; present figures and tables that can be checked and interpreted. Do not infer causation from correlational designs without adequate justification.</w:t>
      </w:r>
    </w:p>
    <w:p>
      <w:pPr/>
      <w:r>
        <w:rPr>
          <w:b/>
          <w:color w:val="18364E"/>
        </w:rPr>
        <w:t xml:space="preserve">Critical interpretation.  </w:t>
      </w:r>
      <w:r>
        <w:t>Compare findings with prior work; report limitations, possible biases, validity concerns and the boundaries of generalisation. Substantiate claims about policy or practice.</w:t>
      </w:r>
    </w:p>
    <w:p>
      <w:pPr/>
      <w:r>
        <w:rPr>
          <w:b/>
          <w:color w:val="18364E"/>
        </w:rPr>
        <w:t xml:space="preserve">Insufficient:  </w:t>
      </w:r>
      <w:r>
        <w:t>Descriptive statistics without a clear research question or analytical contribution; unclear data origin or sampling; results that cannot be connected to the stated method; unsupported causal or effectiveness claims.</w:t>
      </w:r>
    </w:p>
    <w:p>
      <w:pPr>
        <w:pStyle w:val="KSISection"/>
        <w:keepNext/>
      </w:pPr>
      <w:r>
        <w:t>4. Article type B — Research review</w:t>
      </w:r>
    </w:p>
    <w:p>
      <w:pPr/>
      <w:r>
        <w:t>A scholarly review synthesises existing research to answer a well-defined question or examine a coherent body of knowledge. At submission, the author identifies the subtype: Critical/Narrative Review, Systematic Review, or Scoping Review. A review is not accepted merely because it contains many references.</w:t>
      </w:r>
    </w:p>
    <w:p>
      <w:pPr/>
      <w:r>
        <w:rPr>
          <w:b/>
          <w:color w:val="18364E"/>
        </w:rPr>
        <w:t xml:space="preserve">Common structure:  </w:t>
      </w:r>
      <w:r>
        <w:t>Introduction and Review Question → Review Approach / Literature Search → Thematic or Evidence Synthesis → Critical Discussion → Research Gaps / Conclusions → References.</w:t>
      </w:r>
    </w:p>
    <w:p>
      <w:pPr/>
      <w:r>
        <w:rPr>
          <w:b/>
          <w:color w:val="18364E"/>
        </w:rPr>
        <w:t xml:space="preserve">Critical or narrative review.  </w:t>
      </w:r>
      <w:r>
        <w:t>Describe the topic boundaries and the rationale for selecting key literature; compare schools of thought, methods, contradictions and neglected issues; present an original synthesis or interpretive framework. Full systematic-search reporting is not claimed or required, but selection must not be opaque or misleading.</w:t>
      </w:r>
    </w:p>
    <w:p>
      <w:pPr/>
      <w:r>
        <w:rPr>
          <w:b/>
          <w:color w:val="18364E"/>
        </w:rPr>
        <w:t xml:space="preserve">Systematic review.  </w:t>
      </w:r>
      <w:r>
        <w:t>State the question, eligibility criteria, searched databases/sources, search strings, search dates, screening procedure, included studies, appraisal or risk-of-bias approach when relevant, and synthesis method. Include a transparent account of excluded/included records. Use applicable PRISMA 2020 guidance; a meta-analysis is not mandatory unless appropriate to the evidence and question.</w:t>
      </w:r>
    </w:p>
    <w:p>
      <w:pPr/>
      <w:r>
        <w:rPr>
          <w:b/>
          <w:color w:val="18364E"/>
        </w:rPr>
        <w:t xml:space="preserve">Scoping review.  </w:t>
      </w:r>
      <w:r>
        <w:t>State the mapping question, inclusion criteria, sources, search dates, selection and data-charting procedure, distribution of evidence and gaps. Report with PRISMA-ScR where applicable; do not mislabel a scoping review as a systematic effectiveness review.</w:t>
      </w:r>
    </w:p>
    <w:p>
      <w:pPr/>
      <w:r>
        <w:rPr>
          <w:b/>
          <w:color w:val="18364E"/>
        </w:rPr>
        <w:t xml:space="preserve">Review contribution.  </w:t>
      </w:r>
      <w:r>
        <w:t>The synthesis must make a defensible contribution, e.g. a new taxonomy, evidence map, evaluation of contradictory findings, integrative model or actionable research agenda.</w:t>
      </w:r>
    </w:p>
    <w:p>
      <w:pPr/>
      <w:r>
        <w:rPr>
          <w:b/>
          <w:color w:val="18364E"/>
        </w:rPr>
        <w:t xml:space="preserve">Insufficient:  </w:t>
      </w:r>
      <w:r>
        <w:t>An annotated bibliography; selective references with no selection logic; claiming a “systematic review” without a traceable search and screening procedure; drawing stronger conclusions than the underlying studies allow.</w:t>
      </w:r>
    </w:p>
    <w:p>
      <w:pPr>
        <w:pStyle w:val="KSISection"/>
        <w:keepNext/>
      </w:pPr>
      <w:r>
        <w:t>5. Article type C — Conceptual or theoretical study</w:t>
      </w:r>
    </w:p>
    <w:p>
      <w:pPr/>
      <w:r>
        <w:t>This article develops, critiques, extends or integrates concepts, propositions, frameworks or theory. New empirical data are not mandatory, but disciplined reasoning and an original intellectual outcome are mandatory.</w:t>
      </w:r>
    </w:p>
    <w:p>
      <w:pPr/>
      <w:r>
        <w:rPr>
          <w:b/>
          <w:color w:val="18364E"/>
        </w:rPr>
        <w:t xml:space="preserve">Recommended structure:  </w:t>
      </w:r>
      <w:r>
        <w:t>Introduction and Theoretical Gap → Definitions and Theoretical Foundations → Conceptual Development / Analytical Logic → Proposed Model or Propositions → Critical Discussion and Boundary Conditions → Conclusions.</w:t>
      </w:r>
    </w:p>
    <w:p>
      <w:pPr/>
      <w:r>
        <w:rPr>
          <w:b/>
          <w:color w:val="18364E"/>
        </w:rPr>
        <w:t xml:space="preserve">Problem and positioning.  </w:t>
      </w:r>
      <w:r>
        <w:t>Specify which concept, relationship, theory or explanatory limitation remains unresolved and why existing frameworks are insufficient.</w:t>
      </w:r>
    </w:p>
    <w:p>
      <w:pPr/>
      <w:r>
        <w:rPr>
          <w:b/>
          <w:color w:val="18364E"/>
        </w:rPr>
        <w:t xml:space="preserve">Concept development.  </w:t>
      </w:r>
      <w:r>
        <w:t>Define key terms consistently; identify the literature and assumptions used; explain the logical steps or comparative synthesis through which constructs, mechanisms or propositions are derived.</w:t>
      </w:r>
    </w:p>
    <w:p>
      <w:pPr/>
      <w:r>
        <w:rPr>
          <w:b/>
          <w:color w:val="18364E"/>
        </w:rPr>
        <w:t xml:space="preserve">Novel contribution.  </w:t>
      </w:r>
      <w:r>
        <w:t>Provide an explicit conceptual output — an explanatory framework, refined construct, propositions, typology or conceptual model — rather than a generic list of recommendations. Explain how it differs from existing approaches.</w:t>
      </w:r>
    </w:p>
    <w:p>
      <w:pPr/>
      <w:r>
        <w:rPr>
          <w:b/>
          <w:color w:val="18364E"/>
        </w:rPr>
        <w:t xml:space="preserve">Critical scrutiny.  </w:t>
      </w:r>
      <w:r>
        <w:t>Discuss counterarguments, rival explanations, scope and limits; indicate which claims remain hypotheses and how future research could evaluate them. Label illustrative scenarios as illustrative.</w:t>
      </w:r>
    </w:p>
    <w:p>
      <w:pPr/>
      <w:r>
        <w:rPr>
          <w:b/>
          <w:color w:val="18364E"/>
        </w:rPr>
        <w:t xml:space="preserve">Insufficient:  </w:t>
      </w:r>
      <w:r>
        <w:t>Unconnected quotations; a diagram without explained relationships; describing a proposed “AI model” as trained, implemented or empirically validated without evidence of actual development or testing; purely opinion-based commentary.</w:t>
      </w:r>
    </w:p>
    <w:p>
      <w:pPr>
        <w:pStyle w:val="KSISection"/>
        <w:keepNext/>
      </w:pPr>
      <w:r>
        <w:t>6. Article type D — Methodological study</w:t>
      </w:r>
    </w:p>
    <w:p>
      <w:pPr/>
      <w:r>
        <w:t>A methodological article introduces or substantially improves a research method, measurement instrument, analytical procedure, evaluation protocol, algorithm or scholarly workflow. It must demonstrate why the method is needed and how its performance or usefulness is assessed.</w:t>
      </w:r>
    </w:p>
    <w:p>
      <w:pPr/>
      <w:r>
        <w:rPr>
          <w:b/>
          <w:color w:val="18364E"/>
        </w:rPr>
        <w:t xml:space="preserve">Recommended structure:  </w:t>
      </w:r>
      <w:r>
        <w:t>Introduction and Methodological Problem → Related Methods and Criteria → Proposed Method / Procedure → Demonstration and Evaluation → Discussion, Limitations and Reuse → Conclusions.</w:t>
      </w:r>
    </w:p>
    <w:p>
      <w:pPr/>
      <w:r>
        <w:rPr>
          <w:b/>
          <w:color w:val="18364E"/>
        </w:rPr>
        <w:t xml:space="preserve">Specification.  </w:t>
      </w:r>
      <w:r>
        <w:t>Describe intended application, inputs, outputs, assumptions, materials, parameters and step-by-step procedure precisely enough for competent scholars to repeat or assess it.</w:t>
      </w:r>
    </w:p>
    <w:p>
      <w:pPr/>
      <w:r>
        <w:rPr>
          <w:b/>
          <w:color w:val="18364E"/>
        </w:rPr>
        <w:t xml:space="preserve">Novelty and comparison.  </w:t>
      </w:r>
      <w:r>
        <w:t>Explain what is new and how the procedure differs from existing methods, with suitable baselines, prior approaches or accepted design criteria.</w:t>
      </w:r>
    </w:p>
    <w:p>
      <w:pPr/>
      <w:r>
        <w:rPr>
          <w:b/>
          <w:color w:val="18364E"/>
        </w:rPr>
        <w:t xml:space="preserve">Evaluation.  </w:t>
      </w:r>
      <w:r>
        <w:t>Supply a demonstration, analytical test, simulation, expert validation, benchmark, worked example or suitable evaluation suited to the claimed contribution. State performance measures, uncertainty and failure cases when relevant.</w:t>
      </w:r>
    </w:p>
    <w:p>
      <w:pPr/>
      <w:r>
        <w:rPr>
          <w:b/>
          <w:color w:val="18364E"/>
        </w:rPr>
        <w:t xml:space="preserve">Reusability.  </w:t>
      </w:r>
      <w:r>
        <w:t>Disclose prerequisites, implementation conditions and boundaries. Where feasible, provide code, instruments, templates or protocols, subject to lawful restrictions.</w:t>
      </w:r>
    </w:p>
    <w:p>
      <w:pPr/>
      <w:r>
        <w:rPr>
          <w:b/>
          <w:color w:val="18364E"/>
        </w:rPr>
        <w:t xml:space="preserve">Insufficient:  </w:t>
      </w:r>
      <w:r>
        <w:t>An untested step list presented as a proven method; unclear algorithm or sampling procedures; effectiveness claims without evaluation; omission of known limitations or feasibility constraints.</w:t>
      </w:r>
    </w:p>
    <w:p>
      <w:pPr>
        <w:pStyle w:val="KSISection"/>
        <w:keepNext/>
      </w:pPr>
      <w:r>
        <w:t>7. Article type E — Scholarly case study</w:t>
      </w:r>
    </w:p>
    <w:p>
      <w:pPr/>
      <w:r>
        <w:t>A case study uses one or more bounded real-world cases (organisation, project, system, policy, location or event) to answer a defined scholarly question. It is an analytical research design, not a promotional report or anecdotal story.</w:t>
      </w:r>
    </w:p>
    <w:p>
      <w:pPr/>
      <w:r>
        <w:rPr>
          <w:b/>
          <w:color w:val="18364E"/>
        </w:rPr>
        <w:t xml:space="preserve">Recommended structure:  </w:t>
      </w:r>
      <w:r>
        <w:t>Introduction and Research Question → Literature / Analytical Lens → Case Selection and Data Sources → Case Analysis / Findings → Cross-case or Theoretical Discussion → Conclusions and Transferability.</w:t>
      </w:r>
    </w:p>
    <w:p>
      <w:pPr/>
      <w:r>
        <w:rPr>
          <w:b/>
          <w:color w:val="18364E"/>
        </w:rPr>
        <w:t xml:space="preserve">Case and rationale.  </w:t>
      </w:r>
      <w:r>
        <w:t>Identify the case boundaries, time period, context and selection logic (typical, critical, extreme, comparative, etc.). Explain how the case bears on the research question.</w:t>
      </w:r>
    </w:p>
    <w:p>
      <w:pPr/>
      <w:r>
        <w:rPr>
          <w:b/>
          <w:color w:val="18364E"/>
        </w:rPr>
        <w:t xml:space="preserve">Evidence.  </w:t>
      </w:r>
      <w:r>
        <w:t>Report sources such as interviews, documents, observations, internal records or public datasets; explain access, sampling and analytical coding or triangulation as appropriate. Protect personal and commercially sensitive information.</w:t>
      </w:r>
    </w:p>
    <w:p>
      <w:pPr/>
      <w:r>
        <w:rPr>
          <w:b/>
          <w:color w:val="18364E"/>
        </w:rPr>
        <w:t xml:space="preserve">Analysis and contribution.  </w:t>
      </w:r>
      <w:r>
        <w:t>Move beyond case chronology to themes, mechanisms, process explanations, conceptual insights or comparisons with theory. For multiple cases, explain the cross-case comparison procedure.</w:t>
      </w:r>
    </w:p>
    <w:p>
      <w:pPr/>
      <w:r>
        <w:rPr>
          <w:b/>
          <w:color w:val="18364E"/>
        </w:rPr>
        <w:t xml:space="preserve">Transferability.  </w:t>
      </w:r>
      <w:r>
        <w:t>Acknowledge contextual specificity, bias, data gaps, observer position and limits of extrapolation; distinguish analytic transferability from statistical representativeness.</w:t>
      </w:r>
    </w:p>
    <w:p>
      <w:pPr/>
      <w:r>
        <w:rPr>
          <w:b/>
          <w:color w:val="18364E"/>
        </w:rPr>
        <w:t xml:space="preserve">Insufficient:  </w:t>
      </w:r>
      <w:r>
        <w:t>Company background plus recommendations with no research method; undocumented anecdotes; a single success story marketed as universally generalisable; unapproved disclosure of identifiable or confidential material.</w:t>
      </w:r>
    </w:p>
    <w:p>
      <w:pPr>
        <w:pStyle w:val="KSISection"/>
        <w:keepNext/>
      </w:pPr>
      <w:r>
        <w:t>8. Article-type selection and editorial decisions</w:t>
      </w:r>
    </w:p>
    <w:p>
      <w:pPr/>
      <w:r>
        <w:rPr>
          <w:b/>
          <w:color w:val="18364E"/>
        </w:rPr>
        <w:t xml:space="preserve">Select one main type.  </w:t>
      </w:r>
      <w:r>
        <w:t>Choose the form that matches the paper’s actual intellectual contribution; an article may include elements from other types, but the dominant design determines the relevant quality criteria. The editor may request reclassification.</w:t>
      </w:r>
    </w:p>
    <w:p>
      <w:pPr/>
      <w:r>
        <w:rPr>
          <w:b/>
          <w:color w:val="18364E"/>
        </w:rPr>
        <w:t xml:space="preserve">Technical return.  </w:t>
      </w:r>
      <w:r>
        <w:t>Missing mandatory UDC or JEL, absent anonymised version, template not followed, major APA 7 problems, missing required information or undeclared identifiable material normally prompts author correction before review.</w:t>
      </w:r>
    </w:p>
    <w:p>
      <w:pPr/>
      <w:r>
        <w:rPr>
          <w:b/>
          <w:color w:val="18364E"/>
        </w:rPr>
        <w:t xml:space="preserve">Editorial decline.  </w:t>
      </w:r>
      <w:r>
        <w:t>No clear scholarly contribution, material outside scope, unusable methods/evidence, false characterisation of the design or serious integrity concerns may justify rejection without external review, with reasons.</w:t>
      </w:r>
    </w:p>
    <w:p>
      <w:pPr/>
      <w:r>
        <w:rPr>
          <w:b/>
          <w:color w:val="18364E"/>
        </w:rPr>
        <w:t xml:space="preserve">Peer-review decision.  </w:t>
      </w:r>
      <w:r>
        <w:t>A structurally complete article may still be rejected after independent peer review for scientific quality. Reviewers evaluate the claims and evidence within the chosen category, not an inappropriate one-size-fits-all IMRaD format.</w:t>
      </w:r>
    </w:p>
    <w:p>
      <w:pPr>
        <w:pStyle w:val="KSISection"/>
        <w:keepNext/>
      </w:pPr>
      <w:r>
        <w:t>9. Practical submission and technical standards</w:t>
      </w:r>
    </w:p>
    <w:p>
      <w:pPr/>
      <w:r>
        <w:rPr>
          <w:b/>
          <w:color w:val="18364E"/>
        </w:rPr>
        <w:t xml:space="preserve">Format.  </w:t>
      </w:r>
      <w:r>
        <w:t>A4 paper, fully author-prepared two-column Word file, Times New Roman (approximately 10 pt body, 9 pt abstract and references), numbered Roman-numeral main headings as exemplified in the official Submission Template. Authors are responsible for fitting and aligning tables, figures and text.</w:t>
      </w:r>
    </w:p>
    <w:p>
      <w:pPr/>
      <w:r>
        <w:rPr>
          <w:b/>
          <w:color w:val="18364E"/>
        </w:rPr>
        <w:t xml:space="preserve">Two manuscripts.  </w:t>
      </w:r>
      <w:r>
        <w:t>Submit a FULL article with names, affiliations, ORCID iDs and corresponding author details and an ANONYMISED copy with identical scholarly text/layout but no identifying details in the file, properties, comments or tracked changes. The editorial office checks anonymisation but does not typeset the submission.</w:t>
      </w:r>
    </w:p>
    <w:p>
      <w:pPr/>
      <w:r>
        <w:rPr>
          <w:b/>
          <w:color w:val="18364E"/>
        </w:rPr>
        <w:t xml:space="preserve">Article metadata.  </w:t>
      </w:r>
      <w:r>
        <w:t>Title, abstract (normally 150–250 words), 4–7 keywords, mandatory UDC and JEL; APA 7 in-text citations and reference list. Dates of receipt/acceptance/publication, DOI and final copyright/licence notices are completed by the journal after acceptance.</w:t>
      </w:r>
    </w:p>
    <w:p>
      <w:pPr/>
      <w:r>
        <w:rPr>
          <w:b/>
          <w:color w:val="18364E"/>
        </w:rPr>
        <w:t xml:space="preserve">Figures and tables.  </w:t>
      </w:r>
      <w:r>
        <w:t>Number consecutively, refer to them in the text, provide captions and source/rights information, use editable tables and high-resolution figures. If an item cannot be read in one column, contact the editorial office about a controlled two-column span rather than distorting the page.</w:t>
      </w:r>
    </w:p>
    <w:p>
      <w:pPr/>
      <w:r>
        <w:rPr>
          <w:b/>
          <w:color w:val="18364E"/>
        </w:rPr>
        <w:t xml:space="preserve">Ethics / transparency.  </w:t>
      </w:r>
      <w:r>
        <w:t>Meet the Publication Ethics rules for author contributions, funding, conflicts, ethics/consent, data availability where relevant and substantive AI use. The entire AI translation of the paper, translation of substantial parts and substantial AI rewriting require disclosure even if claimed scientific meaning is unchanged.</w:t>
      </w:r>
    </w:p>
    <w:p>
      <w:pPr>
        <w:pStyle w:val="KSISection"/>
        <w:keepNext/>
      </w:pPr>
      <w:r>
        <w:t>10. Professional guidance and status</w:t>
      </w:r>
    </w:p>
    <w:p>
      <w:pPr/>
      <w:r>
        <w:t>This is a draft for editorial adoption. Once approved, it should be published on the journal’s For Authors page as a companion to Author Guidelines and the Submission Template. It does not claim that DOAJ itself mandates UDC, JEL or a particular IMRaD order; those are journal editorial decisions.</w:t>
      </w:r>
    </w:p>
    <w:p>
      <w:pPr/>
      <w:r>
        <w:t>PRISMA 2020 (systematic reviews): https://www.prisma-statement.org/prisma-2020</w:t>
      </w:r>
    </w:p>
    <w:p>
      <w:pPr/>
      <w:r>
        <w:t>PRISMA-ScR (scoping reviews): https://www.prisma-statement.org/scoping</w:t>
      </w:r>
    </w:p>
    <w:p>
      <w:pPr/>
      <w:r>
        <w:t>DOAJ — Guide to Applying: https://doaj.org/apply/guide/</w:t>
      </w:r>
    </w:p>
    <w:p>
      <w:pPr/>
      <w:r>
        <w:t>COPE — Core Practices: https://publicationethics.org/core-practices</w:t>
      </w:r>
    </w:p>
    <w:p>
      <w:pPr/>
      <w:r>
        <w:t>Journal editorial correspondence: office@tksi.org</w:t>
      </w:r>
    </w:p>
    <w:sectPr w:rsidR="00FC693F" w:rsidRPr="0006063C" w:rsidSect="00034616">
      <w:headerReference w:type="default" r:id="rId9"/>
      <w:footerReference w:type="default" r:id="rId10"/>
      <w:pgSz w:w="11909" w:h="16834"/>
      <w:pgMar w:top="1138" w:right="1310" w:bottom="1094" w:left="1310" w:header="518"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36576"/>
        <w:sz w:val="16"/>
      </w:rPr>
      <w:t>KNOWLEDGE SOCIETY INSTITUTE    |    www.tksi.org    |    office@tksi.org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SILabel"/>
      <w:jc w:val="right"/>
    </w:pPr>
    <w:r>
      <w:t>KSI  /  TRANSACTIONS ON KNOWLEDGE SOCIETY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color w:val="212B3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SILabel">
    <w:name w:val="KSI Label"/>
    <w:pPr>
      <w:keepNext/>
      <w:spacing w:before="0" w:after="180"/>
    </w:pPr>
    <w:rPr>
      <w:rFonts w:ascii="Aptos" w:hAnsi="Aptos"/>
      <w:b/>
      <w:color w:val="286D88"/>
      <w:sz w:val="18"/>
    </w:rPr>
  </w:style>
  <w:style w:type="paragraph" w:customStyle="1" w:styleId="KSITitle">
    <w:name w:val="KSI Title"/>
    <w:pPr>
      <w:keepNext/>
      <w:spacing w:before="0" w:after="140"/>
    </w:pPr>
    <w:rPr>
      <w:rFonts w:ascii="Aptos" w:hAnsi="Aptos"/>
      <w:b/>
      <w:color w:val="173852"/>
      <w:sz w:val="46"/>
    </w:rPr>
  </w:style>
  <w:style w:type="paragraph" w:customStyle="1" w:styleId="KSISubtitle">
    <w:name w:val="KSI Subtitle"/>
    <w:pPr>
      <w:keepNext/>
      <w:spacing w:before="0" w:after="300"/>
    </w:pPr>
    <w:rPr>
      <w:rFonts w:ascii="Aptos" w:hAnsi="Aptos"/>
      <w:b w:val="0"/>
      <w:color w:val="536576"/>
      <w:sz w:val="20"/>
    </w:rPr>
  </w:style>
  <w:style w:type="paragraph" w:customStyle="1" w:styleId="KSILead">
    <w:name w:val="KSI Lead"/>
    <w:pPr>
      <w:keepNext/>
      <w:spacing w:before="0" w:after="200"/>
    </w:pPr>
    <w:rPr>
      <w:rFonts w:ascii="Aptos" w:hAnsi="Aptos"/>
      <w:b w:val="0"/>
      <w:color w:val="173852"/>
      <w:sz w:val="18"/>
    </w:rPr>
  </w:style>
  <w:style w:type="paragraph" w:customStyle="1" w:styleId="KSISection">
    <w:name w:val="KSI Section"/>
    <w:pPr>
      <w:keepNext/>
      <w:spacing w:before="180" w:after="80"/>
    </w:pPr>
    <w:rPr>
      <w:rFonts w:ascii="Aptos" w:hAnsi="Aptos"/>
      <w:b/>
      <w:color w:val="173852"/>
      <w:sz w:val="22"/>
    </w:rPr>
  </w:style>
  <w:style w:type="paragraph" w:customStyle="1" w:styleId="KSISubheading">
    <w:name w:val="KSI Subheading"/>
    <w:pPr>
      <w:spacing w:after="60" w:before="100" w:line="240" w:lineRule="auto"/>
    </w:pPr>
    <w:rPr>
      <w:rFonts w:ascii="Aptos" w:hAnsi="Aptos"/>
      <w:b/>
      <w:i w:val="0"/>
      <w:color w:val="18364E"/>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aj.org/apply/guide/" TargetMode="External"/><Relationship Id="rId12" Type="http://schemas.openxmlformats.org/officeDocument/2006/relationships/hyperlink" Target="https://doi.org/10.24318/cope.2019.1.9" TargetMode="External"/><Relationship Id="rId13" Type="http://schemas.openxmlformats.org/officeDocument/2006/relationships/hyperlink" Target="https://doaj.org/apply/transpar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Types and Manuscript Quality Criteria | KSI Transactions on Knowledge Society</dc:title>
  <dc:subject>Editorial screening and author expectations for five peer-reviewed article types</dc:subject>
  <dc:creator>Knowledge Society Institute</dc:creator>
  <cp:keywords>peer review; editorial policy; double-anonymous; KSI Transactions on Knowledge Society</cp:keywords>
  <dc:description/>
  <cp:lastModifiedBy/>
  <cp:revision>1</cp:revision>
  <dcterms:created xsi:type="dcterms:W3CDTF">2013-12-23T23:15:00Z</dcterms:created>
  <dcterms:modified xsi:type="dcterms:W3CDTF">2013-12-23T23:15:00Z</dcterms:modified>
  <cp:category/>
</cp:coreProperties>
</file>