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7F6" w:rsidRDefault="007B504A">
      <w:pPr>
        <w:spacing w:after="140"/>
      </w:pPr>
      <w:r>
        <w:rPr>
          <w:rFonts w:eastAsia="Aptos"/>
          <w:b/>
          <w:color w:val="006F7C"/>
          <w:sz w:val="17"/>
        </w:rPr>
        <w:t>JOURNAL INFORMATION</w:t>
      </w:r>
    </w:p>
    <w:p w:rsidR="006D37F6" w:rsidRDefault="007B504A">
      <w:pPr>
        <w:pStyle w:val="Title"/>
      </w:pPr>
      <w:r>
        <w:t>Editorial Board</w:t>
      </w:r>
    </w:p>
    <w:p w:rsidR="006D37F6" w:rsidRDefault="007B504A">
      <w:pPr>
        <w:spacing w:after="240"/>
      </w:pPr>
      <w:r>
        <w:rPr>
          <w:rFonts w:eastAsia="Aptos"/>
          <w:color w:val="5C6D79"/>
          <w:sz w:val="22"/>
        </w:rPr>
        <w:t>International academic oversight and editorial independence</w:t>
      </w:r>
    </w:p>
    <w:p w:rsidR="006D37F6" w:rsidRDefault="007B504A">
      <w:r>
        <w:rPr>
          <w:rFonts w:eastAsia="Aptos"/>
        </w:rPr>
        <w:t xml:space="preserve">The journal’s editorial structure comprises the Editor-in-Chief, the International Editorial Board and the Technical Editor. Editorial assessment and </w:t>
      </w:r>
      <w:r>
        <w:rPr>
          <w:rFonts w:eastAsia="Aptos"/>
        </w:rPr>
        <w:t>scientific decisions are governed by the journal’s published Peer Review Policy and Publication Ethics.</w:t>
      </w:r>
    </w:p>
    <w:p w:rsidR="006D37F6" w:rsidRDefault="007B504A">
      <w:pPr>
        <w:pStyle w:val="Heading1"/>
      </w:pPr>
      <w:r>
        <w:t>Editor-in-Chief</w:t>
      </w:r>
    </w:p>
    <w:p w:rsidR="006D37F6" w:rsidRDefault="007B504A">
      <w:r>
        <w:rPr>
          <w:rFonts w:eastAsia="Aptos"/>
        </w:rPr>
        <w:t>Kiril Anguelov — Dr. Habil., Professor</w:t>
      </w:r>
    </w:p>
    <w:p w:rsidR="006D37F6" w:rsidRDefault="007B504A">
      <w:pPr>
        <w:pStyle w:val="Heading1"/>
      </w:pPr>
      <w:r>
        <w:t>International Editorial Board</w:t>
      </w:r>
    </w:p>
    <w:tbl>
      <w:tblPr>
        <w:tblW w:w="10498" w:type="dxa"/>
        <w:jc w:val="center"/>
        <w:tblLayout w:type="fixed"/>
        <w:tblLook w:val="04A0" w:firstRow="1" w:lastRow="0" w:firstColumn="1" w:lastColumn="0" w:noHBand="0" w:noVBand="1"/>
      </w:tblPr>
      <w:tblGrid>
        <w:gridCol w:w="3487"/>
        <w:gridCol w:w="3156"/>
        <w:gridCol w:w="3855"/>
      </w:tblGrid>
      <w:tr w:rsidR="006D37F6" w:rsidTr="00302078">
        <w:trPr>
          <w:cantSplit/>
          <w:tblHeader/>
          <w:jc w:val="center"/>
        </w:trPr>
        <w:tc>
          <w:tcPr>
            <w:tcW w:w="3487" w:type="dxa"/>
            <w:shd w:val="clear" w:color="auto" w:fill="163C56"/>
            <w:tcMar>
              <w:top w:w="90" w:type="dxa"/>
              <w:left w:w="115" w:type="dxa"/>
              <w:bottom w:w="90" w:type="dxa"/>
              <w:right w:w="115" w:type="dxa"/>
            </w:tcMar>
          </w:tcPr>
          <w:p w:rsidR="006D37F6" w:rsidRDefault="007B504A">
            <w:r>
              <w:rPr>
                <w:rFonts w:eastAsia="Aptos"/>
                <w:b/>
                <w:color w:val="FFFFFF"/>
                <w:sz w:val="17"/>
              </w:rPr>
              <w:t>Editorial board member</w:t>
            </w:r>
          </w:p>
        </w:tc>
        <w:tc>
          <w:tcPr>
            <w:tcW w:w="3156" w:type="dxa"/>
            <w:shd w:val="clear" w:color="auto" w:fill="163C56"/>
            <w:tcMar>
              <w:top w:w="90" w:type="dxa"/>
              <w:left w:w="115" w:type="dxa"/>
              <w:bottom w:w="90" w:type="dxa"/>
              <w:right w:w="115" w:type="dxa"/>
            </w:tcMar>
          </w:tcPr>
          <w:p w:rsidR="006D37F6" w:rsidRDefault="007B504A">
            <w:r>
              <w:rPr>
                <w:rFonts w:eastAsia="Aptos"/>
                <w:b/>
                <w:color w:val="FFFFFF"/>
                <w:sz w:val="17"/>
              </w:rPr>
              <w:t>Academic title</w:t>
            </w:r>
          </w:p>
        </w:tc>
        <w:tc>
          <w:tcPr>
            <w:tcW w:w="3855" w:type="dxa"/>
            <w:shd w:val="clear" w:color="auto" w:fill="163C56"/>
            <w:tcMar>
              <w:top w:w="90" w:type="dxa"/>
              <w:left w:w="115" w:type="dxa"/>
              <w:bottom w:w="90" w:type="dxa"/>
              <w:right w:w="115" w:type="dxa"/>
            </w:tcMar>
          </w:tcPr>
          <w:p w:rsidR="006D37F6" w:rsidRDefault="007B504A">
            <w:r>
              <w:rPr>
                <w:rFonts w:eastAsia="Aptos"/>
                <w:b/>
                <w:color w:val="FFFFFF"/>
                <w:sz w:val="17"/>
              </w:rPr>
              <w:t>Institutional affiliation / c</w:t>
            </w:r>
            <w:r>
              <w:rPr>
                <w:rFonts w:eastAsia="Aptos"/>
                <w:b/>
                <w:color w:val="FFFFFF"/>
                <w:sz w:val="17"/>
              </w:rPr>
              <w:t>ountry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Romualdas Ginevicius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Sergey Voytko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Nina Dyulgerova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Georgi Najdenov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 xml:space="preserve">Rima </w:t>
            </w:r>
            <w:r>
              <w:rPr>
                <w:rFonts w:eastAsia="Aptos"/>
                <w:b/>
                <w:sz w:val="18"/>
              </w:rPr>
              <w:t>Tamosiuniene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Laura Bacali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Dr.,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I. Novak-Marcincin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Lāce Nataļja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Ivan Kuric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 Habil.,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</w:t>
            </w:r>
            <w:r>
              <w:rPr>
                <w:rFonts w:eastAsia="Aptos"/>
                <w:i/>
                <w:color w:val="5C6D79"/>
                <w:sz w:val="18"/>
              </w:rPr>
              <w:t xml:space="preserve">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 xml:space="preserve">Pasquale </w:t>
            </w:r>
            <w:proofErr w:type="spellStart"/>
            <w:r>
              <w:rPr>
                <w:rFonts w:eastAsia="Aptos"/>
                <w:b/>
                <w:sz w:val="18"/>
              </w:rPr>
              <w:t>Pazienza</w:t>
            </w:r>
            <w:proofErr w:type="spellEnd"/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Fernando Garcia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Dr.,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bookmarkStart w:id="0" w:name="_GoBack"/>
            <w:bookmarkEnd w:id="0"/>
            <w:r>
              <w:rPr>
                <w:rFonts w:eastAsia="Aptos"/>
                <w:b/>
                <w:sz w:val="18"/>
              </w:rPr>
              <w:t>Tatjana Põlajeva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Goran Milovanovic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Wlodzimierz Sroka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Assoc.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Tsvetana Stoyanova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Ivajlo Stoianov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t>Philip Stoyanov</w:t>
            </w:r>
          </w:p>
        </w:tc>
        <w:tc>
          <w:tcPr>
            <w:tcW w:w="3156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Assoc. Prof.</w:t>
            </w:r>
          </w:p>
        </w:tc>
        <w:tc>
          <w:tcPr>
            <w:tcW w:w="3855" w:type="dxa"/>
            <w:shd w:val="clear" w:color="auto" w:fill="F1F6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  <w:tr w:rsidR="006D37F6" w:rsidTr="00302078">
        <w:trPr>
          <w:cantSplit/>
          <w:jc w:val="center"/>
        </w:trPr>
        <w:tc>
          <w:tcPr>
            <w:tcW w:w="3487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b/>
                <w:sz w:val="18"/>
              </w:rPr>
              <w:lastRenderedPageBreak/>
              <w:t>Miglena Angelova</w:t>
            </w:r>
          </w:p>
        </w:tc>
        <w:tc>
          <w:tcPr>
            <w:tcW w:w="3156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sz w:val="18"/>
              </w:rPr>
              <w:t>Ph.D., Assoc. Prof.</w:t>
            </w:r>
          </w:p>
        </w:tc>
        <w:tc>
          <w:tcPr>
            <w:tcW w:w="385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="006D37F6" w:rsidRDefault="007B504A">
            <w:r>
              <w:rPr>
                <w:rFonts w:eastAsia="Aptos"/>
                <w:i/>
                <w:color w:val="5C6D79"/>
                <w:sz w:val="18"/>
              </w:rPr>
              <w:t>[Institution, country]</w:t>
            </w:r>
          </w:p>
        </w:tc>
      </w:tr>
    </w:tbl>
    <w:p w:rsidR="006D37F6" w:rsidRDefault="007B504A">
      <w:pPr>
        <w:pStyle w:val="Heading1"/>
      </w:pPr>
      <w:r>
        <w:t>Technical Editor</w:t>
      </w:r>
    </w:p>
    <w:p w:rsidR="006D37F6" w:rsidRDefault="007B504A">
      <w:r>
        <w:rPr>
          <w:rFonts w:eastAsia="Aptos"/>
        </w:rPr>
        <w:t>Ivajlo Stoianov — Ph.D., Professor</w:t>
      </w:r>
    </w:p>
    <w:p w:rsidR="006D37F6" w:rsidRDefault="007B504A">
      <w:pPr>
        <w:pStyle w:val="Heading1"/>
      </w:pPr>
      <w:r>
        <w:t xml:space="preserve">Editorial Independence and </w:t>
      </w:r>
      <w:r>
        <w:t>Conflicts of Interest</w:t>
      </w:r>
    </w:p>
    <w:p w:rsidR="006D37F6" w:rsidRDefault="007B504A">
      <w:r>
        <w:rPr>
          <w:rFonts w:eastAsia="Aptos"/>
        </w:rPr>
        <w:t>The Editor-in-Chief oversees the integrity and quality of editorial decision-making. Editors and editorial-board members must disclose relevant conflicts of interest and must not handle or decide on their own submissions or those of c</w:t>
      </w:r>
      <w:r>
        <w:rPr>
          <w:rFonts w:eastAsia="Aptos"/>
        </w:rPr>
        <w:t>losely associated persons. Such manuscripts are assigned to an independent, unconflicted editor and undergo the same independent peer-review requirements as other submissions.</w:t>
      </w:r>
    </w:p>
    <w:p w:rsidR="006D37F6" w:rsidRDefault="007B504A">
      <w:r>
        <w:rPr>
          <w:rFonts w:eastAsia="Aptos"/>
        </w:rPr>
        <w:t>Editorial-board membership does not guarantee acceptance or preferential treatme</w:t>
      </w:r>
      <w:r>
        <w:rPr>
          <w:rFonts w:eastAsia="Aptos"/>
        </w:rPr>
        <w:t>nt. The peer-review process is double-anonymous and includes at least two qualified independent reviewers for every scholarly article accepted for publication. The publisher supports editorial operations without overriding independent scientific judgments.</w:t>
      </w:r>
    </w:p>
    <w:p w:rsidR="006D37F6" w:rsidRDefault="007B504A">
      <w:pPr>
        <w:pStyle w:val="Heading1"/>
      </w:pPr>
      <w:r>
        <w:t>Editorial Correspondence</w:t>
      </w:r>
    </w:p>
    <w:p w:rsidR="006D37F6" w:rsidRDefault="007B504A">
      <w:r>
        <w:rPr>
          <w:rFonts w:eastAsia="Aptos"/>
        </w:rPr>
        <w:t>General editorial enquiries: office@tksi.org</w:t>
      </w:r>
    </w:p>
    <w:sectPr w:rsidR="006D37F6" w:rsidSect="00034616">
      <w:headerReference w:type="default" r:id="rId8"/>
      <w:footerReference w:type="default" r:id="rId9"/>
      <w:pgSz w:w="11906" w:h="16838"/>
      <w:pgMar w:top="1332" w:right="1219" w:bottom="1134" w:left="1219" w:header="48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04A" w:rsidRDefault="007B504A">
      <w:pPr>
        <w:spacing w:after="0" w:line="240" w:lineRule="auto"/>
      </w:pPr>
      <w:r>
        <w:separator/>
      </w:r>
    </w:p>
  </w:endnote>
  <w:endnote w:type="continuationSeparator" w:id="0">
    <w:p w:rsidR="007B504A" w:rsidRDefault="007B5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7F6" w:rsidRDefault="007B504A">
    <w:pPr>
      <w:pStyle w:val="Footer"/>
      <w:jc w:val="center"/>
    </w:pPr>
    <w:r>
      <w:rPr>
        <w:rFonts w:eastAsia="Aptos"/>
        <w:color w:val="5C6D79"/>
        <w:sz w:val="16"/>
      </w:rPr>
      <w:t>KNOWLEDGE SOCIETY INSTITUTE   |   www.tksi.org   |   office@tksi.org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04A" w:rsidRDefault="007B504A">
      <w:pPr>
        <w:spacing w:after="0" w:line="240" w:lineRule="auto"/>
      </w:pPr>
      <w:r>
        <w:separator/>
      </w:r>
    </w:p>
  </w:footnote>
  <w:footnote w:type="continuationSeparator" w:id="0">
    <w:p w:rsidR="007B504A" w:rsidRDefault="007B5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7F6" w:rsidRDefault="007B504A">
    <w:pPr>
      <w:pStyle w:val="Header"/>
      <w:jc w:val="right"/>
    </w:pPr>
    <w:r>
      <w:rPr>
        <w:rFonts w:eastAsia="Aptos"/>
        <w:b/>
        <w:color w:val="143A52"/>
        <w:sz w:val="16"/>
      </w:rPr>
      <w:t>KSI  /  TRANSACTIONS ON KNOWLEDGE SOCIETY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2078"/>
    <w:rsid w:val="00326F90"/>
    <w:rsid w:val="006D37F6"/>
    <w:rsid w:val="007B504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C4B0BE9-ACA0-44FC-BA34-D4EDA524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0313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143A5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6F7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43A5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AC3B2D-A138-4E91-8F03-4BEB51EF3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 5</cp:lastModifiedBy>
  <cp:revision>2</cp:revision>
  <dcterms:created xsi:type="dcterms:W3CDTF">2013-12-23T23:15:00Z</dcterms:created>
  <dcterms:modified xsi:type="dcterms:W3CDTF">2026-10-20T07:24:00Z</dcterms:modified>
  <cp:category/>
</cp:coreProperties>
</file>