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SILabel"/>
        <w:widowControl/>
      </w:pPr>
      <w:r>
        <w:t>PUBLISHING POLICIES</w:t>
      </w:r>
    </w:p>
    <w:p>
      <w:pPr>
        <w:pStyle w:val="KSITitle"/>
        <w:widowControl/>
      </w:pPr>
      <w:r>
        <w:t>Peer Review Policy</w:t>
      </w:r>
    </w:p>
    <w:p>
      <w:pPr>
        <w:pStyle w:val="KSISubtitle"/>
        <w:widowControl/>
      </w:pPr>
      <w:r>
        <w:t>Editorial assessment, independent review and publication integrity</w:t>
      </w:r>
    </w:p>
    <w:p>
      <w:pPr>
        <w:pStyle w:val="KSILead"/>
        <w:widowControl/>
      </w:pPr>
      <w:r>
        <w:t>KSI Transactions on Knowledge Society uses double-anonymous peer review for scholarly articles. Manuscripts are evaluated for originality, scholarly contribution, methodological quality, relevance and research integrity. All editorial decisions are made independently of authors’ affiliations, personal characteristics, financial considerations or relationships with the journal.</w:t>
      </w:r>
    </w:p>
    <w:p>
      <w:pPr>
        <w:pStyle w:val="KSISection"/>
        <w:keepNext/>
        <w:widowControl/>
      </w:pPr>
      <w:r>
        <w:t>1. Scope and peer-review model</w:t>
      </w:r>
    </w:p>
    <w:p>
      <w:pPr>
        <w:keepLines w:val="0"/>
        <w:widowControl/>
      </w:pPr>
      <w:r>
        <w:t>All original research articles, research reviews, conceptual and methodological studies, and scholarly case studies must undergo external peer review before they can be accepted for publication. This requirement applies equally to regular and special issues. Editorial notes, announcements and other non-research material may be subject to editorial assessment rather than external peer review; such material is identified by article type and is not represented as peer-reviewed research.</w:t>
      </w:r>
    </w:p>
    <w:p>
      <w:pPr>
        <w:keepLines w:val="0"/>
        <w:widowControl/>
      </w:pPr>
      <w:r>
        <w:t>The journal operates a double-anonymous review system: reviewers are not informed of the authors’ identities, and authors are not informed of the reviewers’ identities. The editorial office prepares the version supplied to reviewers by removing identifying names, affiliations, acknowledgements and document metadata. Authors must also avoid unnecessary identifying details in the manuscript text. Complete anonymity cannot be guaranteed when authors have distributed identifiable preprints or when the research context makes authorship apparent.</w:t>
      </w:r>
    </w:p>
    <w:p>
      <w:pPr>
        <w:pStyle w:val="KSISection"/>
        <w:keepNext/>
        <w:widowControl/>
      </w:pPr>
      <w:r>
        <w:t>2. Initial editorial assessment</w:t>
      </w:r>
    </w:p>
    <w:p>
      <w:pPr>
        <w:keepLines w:val="0"/>
        <w:widowControl/>
      </w:pPr>
      <w:r>
        <w:t>Every submission undergoes an initial editorial screening for fit with the journal’s aims and scope, academic relevance, a clearly stated contribution, adequate research design, clarity, ethical compliance and adherence to the Author Guidelines. This includes the required author information and ORCID iDs, both UDC and JEL classifications, and APA 7 citation and reference formatting.</w:t>
      </w:r>
    </w:p>
    <w:p>
      <w:pPr>
        <w:keepLines w:val="0"/>
        <w:widowControl/>
      </w:pPr>
      <w:r>
        <w:t>The handling editor may request technical corrections before review or decline a manuscript without external review when it falls outside the journal’s scope, does not meet essential scholarly standards, lacks an identifiable contribution or raises substantial integrity concerns. The corresponding author is notified of the outcome and its principal reasons. A manuscript is not accepted for publication on the basis of editorial screening alone.</w:t>
      </w:r>
    </w:p>
    <w:p>
      <w:pPr>
        <w:pStyle w:val="KSISection"/>
        <w:keepNext/>
        <w:widowControl/>
      </w:pPr>
      <w:r>
        <w:t>3. Appointment and independence of reviewers</w:t>
      </w:r>
    </w:p>
    <w:p>
      <w:pPr>
        <w:keepLines w:val="0"/>
        <w:widowControl/>
      </w:pPr>
      <w:r>
        <w:t>Every scholarly article accepted for publication must have been assessed by at least two independent external reviewers with expertise relevant to the manuscript. Reviewers are selected for subject competence and impartiality; they do not serve as members of the journal’s editorial team for the manuscript under consideration. The editor verifies reviewer identity and relevant qualifications and checks for possible conflicts of interest.</w:t>
      </w:r>
    </w:p>
    <w:p>
      <w:pPr>
        <w:keepLines w:val="0"/>
        <w:widowControl/>
      </w:pPr>
      <w:r>
        <w:t>Reviewers must disclose relationships that could compromise independent judgment, including shared institutional affiliation, recent co-authorship or other close collaboration, supervisor–student relationships, joint funding, financial interests, personal relationships or academic disputes. A reviewer with a significant conflict is not appointed. Authors may suggest or identify unsuitable reviewers with reasons, but the journal retains full control over reviewer selection.</w:t>
      </w:r>
    </w:p>
    <w:p>
      <w:pPr>
        <w:keepLines w:val="0"/>
        <w:widowControl/>
      </w:pPr>
      <w:r>
        <w:t>Where reviewers’ assessments materially disagree, specialist expertise is incomplete, or an important ethical or methodological concern requires further examination, the editor may obtain additional independent reviews. An additional opinion does not replace the requirement for two independent assessments before acceptance.</w:t>
      </w:r>
    </w:p>
    <w:p>
      <w:pPr>
        <w:pStyle w:val="KSISection"/>
        <w:keepNext/>
        <w:widowControl/>
      </w:pPr>
      <w:r>
        <w:t>4. Reviewer responsibilities and confidentiality</w:t>
      </w:r>
    </w:p>
    <w:p>
      <w:pPr>
        <w:keepLines w:val="0"/>
        <w:widowControl/>
      </w:pPr>
      <w:r>
        <w:t>Reviewers are expected to provide an objective, respectful and sufficiently detailed assessment of originality, relevance, engagement with prior scholarship, research design, analytical rigour, validity of conclusions, appropriate acknowledgement of sources and transparent reporting of limitations. Recommendations must be supported by clear reasoning and constructive comments.</w:t>
      </w:r>
    </w:p>
    <w:p>
      <w:pPr>
        <w:keepLines w:val="0"/>
        <w:widowControl/>
      </w:pPr>
      <w:r>
        <w:t>Submitted manuscripts, reviewer correspondence, unpublished data and review reports are confidential. Reviewers must not disclose, distribute or use such material for personal or professional advantage, and must not delegate their review without prior written editorial approval. Reviewers must promptly notify the editor of any conflict of interest, lack of expertise, suspected ethical problem or inability to complete the review.</w:t>
      </w:r>
    </w:p>
    <w:p>
      <w:pPr>
        <w:keepLines w:val="0"/>
        <w:widowControl/>
      </w:pPr>
      <w:r>
        <w:t>Reviewers and editors must not upload confidential submitted material to public or third-party generative-AI systems or use such systems to generate peer-review reports or editorial decisions. Any authorised automated checks are conducted with appropriate confidentiality safeguards and human verification. The journal retains human responsibility for all review and publication decisions.</w:t>
      </w:r>
    </w:p>
    <w:p>
      <w:pPr>
        <w:pStyle w:val="KSISection"/>
        <w:keepNext/>
        <w:widowControl/>
      </w:pPr>
      <w:r>
        <w:t>5. Editorial decisions and revisions</w:t>
      </w:r>
    </w:p>
    <w:p>
      <w:pPr>
        <w:keepLines w:val="0"/>
        <w:widowControl/>
      </w:pPr>
      <w:r>
        <w:t>After considering the independent review reports, the handling editor may recommend: acceptance; minor revision; major revision; or rejection. A revision request does not guarantee subsequent acceptance. The decision letter communicates the principal grounds for the outcome and, where applicable, the reviewers’ anonymised comments.</w:t>
      </w:r>
    </w:p>
    <w:p>
      <w:pPr>
        <w:keepLines w:val="0"/>
        <w:widowControl/>
      </w:pPr>
      <w:r>
        <w:t>Authors invited to revise a manuscript must submit a revised text and a point-by-point response explaining the changes made or the reasons for not adopting particular comments. The handling editor checks the revision and may return it to reviewers or obtain further independent evaluation when necessary. A scholarly article is not accepted until at least two independent reviewer assessments have been completed and the editor considers the manuscript to meet the journal’s standards.</w:t>
      </w:r>
    </w:p>
    <w:p>
      <w:pPr>
        <w:keepLines w:val="0"/>
        <w:widowControl/>
      </w:pPr>
      <w:r>
        <w:t>The Editor-in-Chief, or an authorised independent handling editor where a conflict exists, makes the final editorial decision. Reviewers provide recommendations but do not decide acceptance. The journal aims to conduct reviews without unnecessary delay; review duration depends on subject complexity, reviewer availability and the number of revision rounds.</w:t>
      </w:r>
    </w:p>
    <w:p>
      <w:pPr>
        <w:pStyle w:val="KSISection"/>
        <w:keepNext/>
        <w:widowControl/>
      </w:pPr>
      <w:r>
        <w:t>6. Submissions from editors, reviewers and special-issue contributors</w:t>
      </w:r>
    </w:p>
    <w:p>
      <w:pPr>
        <w:keepLines w:val="0"/>
        <w:widowControl/>
      </w:pPr>
      <w:r>
        <w:t>Submissions authored by the Editor-in-Chief, editors, editorial-board members, reviewers or persons with close editorial relationships receive no preferential treatment. An editor who is an author or otherwise has a conflict must not select reviewers, handle the confidential editorial assessment or participate in the decision. The review is managed from submission to final decision by an appropriately qualified, unconflicted handling editor.</w:t>
      </w:r>
    </w:p>
    <w:p>
      <w:pPr>
        <w:keepLines w:val="0"/>
        <w:widowControl/>
      </w:pPr>
      <w:r>
        <w:t>The journal monitors editorial endogeny. In each of its two most recent issues, the proportion of published research articles with at least one author who is an editor, editorial-board member or journal reviewer must not exceed 25%. This calculation is based on research articles, rather than editorial announcements or other non-research content.</w:t>
      </w:r>
    </w:p>
    <w:p>
      <w:pPr>
        <w:keepLines w:val="0"/>
        <w:widowControl/>
      </w:pPr>
      <w:r>
        <w:t>Special or themed issues follow the same peer-review standards as regular issues. Guest editors are appointed on the basis of expertise and are overseen by the Editor-in-Chief or an independent editorial-board member. Research articles submitted by a guest editor must be handled independently and must not exceed 25% of the content of the relevant special issue. An unconflicted editor is responsible for any decision concerning an article authored by a guest editor.</w:t>
      </w:r>
    </w:p>
    <w:p>
      <w:pPr>
        <w:pStyle w:val="KSISection"/>
        <w:keepNext/>
        <w:widowControl/>
      </w:pPr>
      <w:r>
        <w:t>7. Research integrity, complaints and appeals</w:t>
      </w:r>
    </w:p>
    <w:p>
      <w:pPr>
        <w:keepLines w:val="0"/>
        <w:widowControl/>
      </w:pPr>
      <w:r>
        <w:t>Potential plagiarism, redundant publication, fabricated or falsified results, manipulated figures, unethical research conduct, undisclosed conflicts of interest, compromised peer review and other integrity concerns are examined by the journal. Relevant authors and, where appropriate, other parties are given an opportunity to respond. The editorial office follows established principles of publication ethics and may consult applicable COPE guidance.</w:t>
      </w:r>
    </w:p>
    <w:p>
      <w:pPr>
        <w:keepLines w:val="0"/>
        <w:widowControl/>
      </w:pPr>
      <w:r>
        <w:t>Authors may appeal a decision by writing to office@tksi.org and identifying a substantive factual or procedural error. An appeal is reviewed, where practicable, by an editor not involved in the original decision; complaints involving the Editor-in-Chief are referred to an independent and unconflicted editorial-board member. An appeal is not an automatic opportunity for a second peer-review round, and the journal communicates its decision with reasons.</w:t>
      </w:r>
    </w:p>
    <w:p>
      <w:pPr>
        <w:keepLines w:val="0"/>
        <w:widowControl/>
      </w:pPr>
      <w:r>
        <w:t>When concerns are raised after publication, the journal evaluates the evidence and may publish a correction, an expression of concern or a retraction, as appropriate. Such notices are clearly identified and linked to the affected article. The published scholarly record is not silently altered.</w:t>
      </w:r>
    </w:p>
    <w:p>
      <w:pPr>
        <w:pStyle w:val="KSISection"/>
        <w:keepNext/>
        <w:widowControl/>
      </w:pPr>
      <w:r>
        <w:t>8. Documentation and transparency</w:t>
      </w:r>
    </w:p>
    <w:p>
      <w:pPr>
        <w:keepLines w:val="0"/>
        <w:widowControl/>
      </w:pPr>
      <w:r>
        <w:t>The editorial office maintains a confidential, traceable record for each manuscript, including the date of submission, initial screening, reviewer invitations and independence checks, review reports, editorial decisions, revised versions, author responses and final disposition. Records are stored with restricted access and handled in accordance with applicable data-protection requirements. The journal can verify its stated peer-review procedure from these records without publicly disclosing reviewer identities.</w:t>
      </w:r>
    </w:p>
    <w:p>
      <w:pPr>
        <w:keepLines w:val="0"/>
        <w:widowControl/>
      </w:pPr>
      <w:r>
        <w:t>The dates of receipt, acceptance and publication are displayed for each published scholarly article. Reviewer identities and confidential reports are not published unless the relevant parties have expressly agreed and applicable confidentiality safeguards are met. This policy applies to manuscripts considered through the journal’s editorial process, irrespective of the technical platform used for submission.</w:t>
      </w:r>
    </w:p>
    <w:p>
      <w:pPr>
        <w:pStyle w:val="KSISection"/>
        <w:keepNext/>
        <w:widowControl/>
      </w:pPr>
      <w:r>
        <w:t>Contact and professional guidance</w:t>
      </w:r>
    </w:p>
    <w:p>
      <w:pPr>
        <w:keepLines w:val="0"/>
        <w:widowControl/>
        <w:spacing w:after="40"/>
      </w:pPr>
      <w:r>
        <w:t>Peer-review correspondence, ethical concerns and appeals: office@tksi.org</w:t>
      </w:r>
    </w:p>
    <w:p>
      <w:pPr>
        <w:keepLines w:val="0"/>
        <w:widowControl/>
        <w:spacing w:after="40"/>
      </w:pPr>
      <w:r>
        <w:t>DOAJ — Guide to Applying: https://doaj.org/apply/guide/</w:t>
      </w:r>
    </w:p>
    <w:p>
      <w:pPr>
        <w:keepLines w:val="0"/>
        <w:widowControl/>
        <w:spacing w:after="40"/>
      </w:pPr>
      <w:r>
        <w:t>COPE — Ethical Guidelines for Peer Reviewers: https://doi.org/10.24318/cope.2019.1.9</w:t>
      </w:r>
    </w:p>
    <w:p>
      <w:pPr>
        <w:keepLines w:val="0"/>
        <w:widowControl/>
        <w:spacing w:after="40"/>
      </w:pPr>
      <w:r>
        <w:t>Principles of Transparency and Best Practice in Scholarly Publishing: https://doaj.org/apply/transparency/</w:t>
      </w:r>
    </w:p>
    <w:sectPr w:rsidR="00FC693F" w:rsidRPr="0006063C" w:rsidSect="00034616">
      <w:headerReference w:type="default" r:id="rId9"/>
      <w:footerReference w:type="default" r:id="rId10"/>
      <w:pgSz w:w="11909" w:h="16834"/>
      <w:pgMar w:top="1138" w:right="1310" w:bottom="1094" w:left="1310" w:header="518"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36576"/>
        <w:sz w:val="16"/>
      </w:rPr>
      <w:t>KNOWLEDGE SOCIETY INSTITUTE    |    www.tksi.org    |    office@tksi.org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SILabel"/>
      <w:jc w:val="right"/>
    </w:pPr>
    <w:r>
      <w:t>KSI  /  TRANSACTIONS ON KNOWLEDGE SOCIETY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212B3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before="0" w:after="180"/>
    </w:pPr>
    <w:rPr>
      <w:rFonts w:ascii="Aptos" w:hAnsi="Aptos"/>
      <w:b/>
      <w:color w:val="286D88"/>
      <w:sz w:val="18"/>
    </w:rPr>
  </w:style>
  <w:style w:type="paragraph" w:customStyle="1" w:styleId="KSITitle">
    <w:name w:val="KSI Title"/>
    <w:pPr>
      <w:keepNext/>
      <w:spacing w:before="0" w:after="140"/>
    </w:pPr>
    <w:rPr>
      <w:rFonts w:ascii="Aptos" w:hAnsi="Aptos"/>
      <w:b/>
      <w:color w:val="173852"/>
      <w:sz w:val="46"/>
    </w:rPr>
  </w:style>
  <w:style w:type="paragraph" w:customStyle="1" w:styleId="KSISubtitle">
    <w:name w:val="KSI Subtitle"/>
    <w:pPr>
      <w:keepNext/>
      <w:spacing w:before="0" w:after="300"/>
    </w:pPr>
    <w:rPr>
      <w:rFonts w:ascii="Aptos" w:hAnsi="Aptos"/>
      <w:b w:val="0"/>
      <w:color w:val="536576"/>
      <w:sz w:val="20"/>
    </w:rPr>
  </w:style>
  <w:style w:type="paragraph" w:customStyle="1" w:styleId="KSILead">
    <w:name w:val="KSI Lead"/>
    <w:pPr>
      <w:keepNext/>
      <w:spacing w:before="0" w:after="200"/>
    </w:pPr>
    <w:rPr>
      <w:rFonts w:ascii="Aptos" w:hAnsi="Aptos"/>
      <w:b w:val="0"/>
      <w:color w:val="173852"/>
      <w:sz w:val="20"/>
    </w:rPr>
  </w:style>
  <w:style w:type="paragraph" w:customStyle="1" w:styleId="KSISection">
    <w:name w:val="KSI Section"/>
    <w:pPr>
      <w:keepNext/>
      <w:spacing w:before="200" w:after="80"/>
    </w:pPr>
    <w:rPr>
      <w:rFonts w:ascii="Aptos" w:hAnsi="Aptos"/>
      <w:b/>
      <w:color w:val="173852"/>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aj.org/apply/guide/" TargetMode="External"/><Relationship Id="rId12" Type="http://schemas.openxmlformats.org/officeDocument/2006/relationships/hyperlink" Target="https://doi.org/10.24318/cope.2019.1.9" TargetMode="External"/><Relationship Id="rId13" Type="http://schemas.openxmlformats.org/officeDocument/2006/relationships/hyperlink" Target="https://doaj.org/apply/transpar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Policy | KSI Transactions on Knowledge Society</dc:title>
  <dc:subject>Peer-review process and editorial integrity</dc:subject>
  <dc:creator>Knowledge Society Institute</dc:creator>
  <cp:keywords>peer review; editorial policy; double-anonymous; KSI Transactions on Knowledge Society</cp:keywords>
  <dc:description/>
  <cp:lastModifiedBy/>
  <cp:revision>1</cp:revision>
  <dcterms:created xsi:type="dcterms:W3CDTF">2013-12-23T23:15:00Z</dcterms:created>
  <dcterms:modified xsi:type="dcterms:W3CDTF">2013-12-23T23:15:00Z</dcterms:modified>
  <cp:category/>
</cp:coreProperties>
</file>