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6FDD" w:rsidRDefault="00152660">
      <w:pPr>
        <w:pStyle w:val="KSILabel"/>
        <w:rPr>
          <w:rFonts w:hint="eastAsia"/>
        </w:rPr>
      </w:pPr>
      <w:r>
        <w:t>PUBLISHING POLICIES</w:t>
      </w:r>
    </w:p>
    <w:p w:rsidR="00176FDD" w:rsidRDefault="00152660">
      <w:pPr>
        <w:pStyle w:val="KSITitle"/>
        <w:rPr>
          <w:rFonts w:hint="eastAsia"/>
        </w:rPr>
      </w:pPr>
      <w:r>
        <w:t>Publication Ethics</w:t>
      </w:r>
    </w:p>
    <w:p w:rsidR="00176FDD" w:rsidRDefault="00152660">
      <w:pPr>
        <w:pStyle w:val="KSISubtitle"/>
        <w:rPr>
          <w:rFonts w:hint="eastAsia"/>
        </w:rPr>
      </w:pPr>
      <w:r>
        <w:t>Research integrity, responsible authorship and independent editorial conduct</w:t>
      </w:r>
    </w:p>
    <w:p w:rsidR="00176FDD" w:rsidRDefault="00152660">
      <w:pPr>
        <w:pStyle w:val="KSILead"/>
        <w:rPr>
          <w:rFonts w:hint="eastAsia"/>
        </w:rPr>
      </w:pPr>
      <w:r>
        <w:t xml:space="preserve">KSI Transactions on Knowledge Society, published by the Knowledge Society Institute, Bulgaria, is committed to responsible scholarly </w:t>
      </w:r>
      <w:r>
        <w:t xml:space="preserve">publishing and a reliable research record. This policy defines the ethical responsibilities of authors, editors, reviewers and the publisher, and sets out how concerns are reported and assessed. It is informed by the Committee on Publication Ethics (COPE) </w:t>
      </w:r>
      <w:r>
        <w:t>Core Practices and the Principles of Transparency and Best Practice in Scholarly Publishing, and is read together with the journal’s Peer Review Policy, Copyright and Licensing Policy, Open Access Policy and Corrections and Retractions Policy.</w:t>
      </w:r>
    </w:p>
    <w:p w:rsidR="00176FDD" w:rsidRDefault="00152660">
      <w:pPr>
        <w:pStyle w:val="KSISection"/>
        <w:keepLines/>
        <w:rPr>
          <w:rFonts w:hint="eastAsia"/>
        </w:rPr>
      </w:pPr>
      <w:r>
        <w:t>1. Ethical s</w:t>
      </w:r>
      <w:r>
        <w:t>tandards and editorial independence</w:t>
      </w:r>
    </w:p>
    <w:p w:rsidR="00176FDD" w:rsidRDefault="00152660">
      <w:pPr>
        <w:keepLines/>
        <w:rPr>
          <w:rFonts w:hint="eastAsia"/>
        </w:rPr>
      </w:pPr>
      <w:r>
        <w:t>All submissions are assessed according to scholarly merit, originality, methodological soundness, relevance and research integrity. Editorial decisions must not be influenced by nationality, institutional affiliation, pe</w:t>
      </w:r>
      <w:r>
        <w:t>rsonal characteristics, political or religious views, financial interests, sponsorship or relationships with the journal. The publisher provides organisational and financial support but does not direct decisions on individual manuscripts.</w:t>
      </w:r>
    </w:p>
    <w:p w:rsidR="00176FDD" w:rsidRDefault="00152660">
      <w:pPr>
        <w:keepLines/>
        <w:rPr>
          <w:rFonts w:hint="eastAsia"/>
        </w:rPr>
      </w:pPr>
      <w:r>
        <w:t xml:space="preserve">The same ethical </w:t>
      </w:r>
      <w:r>
        <w:t>requirements apply to regular and special issues. Scholarly submissions are subject to the double-anonymous review arrangements in the Peer Review Policy; editorial notes and other clearly labelled non-research content may receive editorial assessment with</w:t>
      </w:r>
      <w:r>
        <w:t>out being presented as peer-reviewed research. Authors, reviewers and editors must cooperate in good faith with legitimate integrity enquiries.</w:t>
      </w:r>
    </w:p>
    <w:p w:rsidR="00176FDD" w:rsidRDefault="00152660">
      <w:pPr>
        <w:pStyle w:val="KSISection"/>
        <w:keepLines/>
        <w:rPr>
          <w:rFonts w:hint="eastAsia"/>
        </w:rPr>
      </w:pPr>
      <w:r>
        <w:t>2. Authorship, contributorship and accountability</w:t>
      </w:r>
    </w:p>
    <w:p w:rsidR="00176FDD" w:rsidRDefault="00152660">
      <w:pPr>
        <w:keepLines/>
        <w:rPr>
          <w:rFonts w:hint="eastAsia"/>
        </w:rPr>
      </w:pPr>
      <w:r>
        <w:t>Authorship is reserved for individuals who have made a substan</w:t>
      </w:r>
      <w:r>
        <w:t>tive intellectual contribution to the research or manuscript, have participated in drafting or critically revising it, approve the version submitted and accepted for publication, and agree to be accountable for their contribution and to cooperate in resolv</w:t>
      </w:r>
      <w:r>
        <w:t>ing questions about the work. All qualifying contributors should be credited; honorary, guest, gift and ghost authorship are unacceptable.</w:t>
      </w:r>
    </w:p>
    <w:p w:rsidR="00176FDD" w:rsidRDefault="00152660">
      <w:pPr>
        <w:keepLines/>
        <w:rPr>
          <w:rFonts w:hint="eastAsia"/>
        </w:rPr>
      </w:pPr>
      <w:r>
        <w:t>The corresponding author must obtain the agreement of all co-authors to submission, authorship order, declarations an</w:t>
      </w:r>
      <w:r>
        <w:t>d the final published version, and must act as the journal’s point of contact. Authors provide accurate names, affiliations and required ORCID iDs in accordance with the Author Guidelines. Contributions that do not meet the authorship criteria should be ac</w:t>
      </w:r>
      <w:r>
        <w:t>knowledged with the individual’s permission, where appropriate. Requests to add, remove or reorder authors after submission require an explanation and written agreement from all affected authors; unresolved disputes may be referred to the relevant institut</w:t>
      </w:r>
      <w:r>
        <w:t>ions.</w:t>
      </w:r>
    </w:p>
    <w:p w:rsidR="00176FDD" w:rsidRDefault="00152660">
      <w:pPr>
        <w:pStyle w:val="KSISection"/>
        <w:keepLines/>
        <w:rPr>
          <w:rFonts w:hint="eastAsia"/>
        </w:rPr>
      </w:pPr>
      <w:r>
        <w:t>3. Originality, attribution and prior dissemination</w:t>
      </w:r>
    </w:p>
    <w:p w:rsidR="00176FDD" w:rsidRDefault="00152660">
      <w:pPr>
        <w:keepLines/>
        <w:rPr>
          <w:rFonts w:hint="eastAsia"/>
        </w:rPr>
      </w:pPr>
      <w:r>
        <w:t>Authors must submit original work and accurately represent methods, evidence and conclusions. Plagiarism, fabrication, falsification, manipulated or misrepresented data or images, inappropriate text</w:t>
      </w:r>
      <w:r>
        <w:t xml:space="preserve"> recycling, redundant publication, invented references and misleading selective reporting are prohibited. The work must not be under simultaneous consideration by another journal or have already appeared as substantially the same peer-reviewed publication </w:t>
      </w:r>
      <w:r>
        <w:t>without clear disclosure and editorial authorisation.</w:t>
      </w:r>
    </w:p>
    <w:p w:rsidR="00176FDD" w:rsidRDefault="00152660">
      <w:pPr>
        <w:keepLines/>
        <w:rPr>
          <w:rFonts w:hint="eastAsia"/>
        </w:rPr>
      </w:pPr>
      <w:r>
        <w:t>Authors must cite relevant sources accurately, obtain permission for third-party material where required, and disclose closely related publications or overlapping manuscripts. References and citations m</w:t>
      </w:r>
      <w:r>
        <w:t>ust follow the journal’s APA 7 requirements. Posting a preprint does not, by itself, disqualify a submission, but the authors must identify any publicly available preprint and disclose material overlap, relevant identifiers and earlier dissemination. Trans</w:t>
      </w:r>
      <w:r>
        <w:t>lations, substantial extensions of earlier work and secondary publication require explicit disclosure and prior editorial agreement.</w:t>
      </w:r>
    </w:p>
    <w:p w:rsidR="00176FDD" w:rsidRDefault="00152660">
      <w:pPr>
        <w:pStyle w:val="KSISection"/>
        <w:keepLines/>
        <w:rPr>
          <w:rFonts w:hint="eastAsia"/>
        </w:rPr>
      </w:pPr>
      <w:r>
        <w:t>4. Research ethics, consent and protection of participants</w:t>
      </w:r>
    </w:p>
    <w:p w:rsidR="00176FDD" w:rsidRDefault="00152660">
      <w:pPr>
        <w:keepLines/>
        <w:rPr>
          <w:rFonts w:hint="eastAsia"/>
        </w:rPr>
      </w:pPr>
      <w:r>
        <w:t>Research involving human participants, interviews, questionnaire</w:t>
      </w:r>
      <w:r>
        <w:t>s, personal information or identifiable case material must comply with applicable law and relevant institutional ethical requirements. When required, authors must obtain prior approval from an appropriate research ethics body and disclose its name, referen</w:t>
      </w:r>
      <w:r>
        <w:t>ce and approval or exemption status. They must also obtain appropriate informed consent for participation and separate permission for publication of identifiable information where necessary.</w:t>
      </w:r>
    </w:p>
    <w:p w:rsidR="00176FDD" w:rsidRDefault="00152660">
      <w:pPr>
        <w:keepLines/>
        <w:rPr>
          <w:rFonts w:hint="eastAsia"/>
        </w:rPr>
      </w:pPr>
      <w:r>
        <w:t>Authors must protect privacy and confidentiality, minimise unnece</w:t>
      </w:r>
      <w:r>
        <w:t>ssary personal data and avoid publishing identifying information without a lawful and ethical basis. Research involving vulnerable individuals, children or sensitive topics requires appropriate safeguards. Where relevant, studies involving animals must fol</w:t>
      </w:r>
      <w:r>
        <w:t>low applicable welfare standards and report necessary approvals. The editorial office may request ethics statements or supporting documentation, with confidential records handled in accordance with data-protection obligations.</w:t>
      </w:r>
    </w:p>
    <w:p w:rsidR="00176FDD" w:rsidRDefault="00152660">
      <w:pPr>
        <w:pStyle w:val="KSISection"/>
        <w:keepLines/>
        <w:rPr>
          <w:rFonts w:hint="eastAsia"/>
        </w:rPr>
      </w:pPr>
      <w:r>
        <w:lastRenderedPageBreak/>
        <w:t>5. Research data, methods and</w:t>
      </w:r>
      <w:r>
        <w:t xml:space="preserve"> reproducibility</w:t>
      </w:r>
    </w:p>
    <w:p w:rsidR="00176FDD" w:rsidRDefault="00152660">
      <w:pPr>
        <w:keepLines/>
        <w:rPr>
          <w:rFonts w:hint="eastAsia"/>
        </w:rPr>
      </w:pPr>
      <w:r>
        <w:t>Authors must describe research design, sources, data collection, analytical methods and limitations sufficiently clearly to permit scholarly evaluation. Results must not be presented as more conclusive or reproducible than the underlying e</w:t>
      </w:r>
      <w:r>
        <w:t>vidence allows. Research involving datasets, code, surveys or instruments should identify materials needed to understand and, where feasible, verify the findings.</w:t>
      </w:r>
    </w:p>
    <w:p w:rsidR="00176FDD" w:rsidRDefault="00152660">
      <w:pPr>
        <w:keepLines/>
        <w:rPr>
          <w:rFonts w:hint="eastAsia"/>
        </w:rPr>
      </w:pPr>
      <w:r>
        <w:t xml:space="preserve">Research articles should contain a data availability statement indicating whether supporting </w:t>
      </w:r>
      <w:r>
        <w:t>data or code are openly available, available on justified request, or restricted, with a reason when access is limited. The journal encourages deposition in trustworthy repositories with persistent identifiers where legally, ethically and contractually pos</w:t>
      </w:r>
      <w:r>
        <w:t>sible; disclosure must not compromise personal data, confidential information, intellectual property or legitimate security concerns. Authors must preserve underlying records for an appropriate period under applicable institutional and disciplinary require</w:t>
      </w:r>
      <w:r>
        <w:t>ments and cooperate with reasonable editorial verification requests.</w:t>
      </w:r>
    </w:p>
    <w:p w:rsidR="00176FDD" w:rsidRDefault="00152660">
      <w:pPr>
        <w:pStyle w:val="KSISection"/>
        <w:keepLines/>
        <w:rPr>
          <w:rFonts w:hint="eastAsia"/>
        </w:rPr>
      </w:pPr>
      <w:r>
        <w:t>6. Competing interests, funding and transparency</w:t>
      </w:r>
    </w:p>
    <w:p w:rsidR="00176FDD" w:rsidRDefault="00152660">
      <w:pPr>
        <w:keepLines/>
        <w:rPr>
          <w:rFonts w:hint="eastAsia"/>
        </w:rPr>
      </w:pPr>
      <w:r>
        <w:t>All authors must declare financial and non-financial interests that could reasonably be perceived to influence the research or its interpr</w:t>
      </w:r>
      <w:r>
        <w:t>etation, including employment, consultancy, grants, intellectual property interests, close collaborations and relevant personal or institutional relationships. Authors must identify funding and describe any material role of funders in study design, analysi</w:t>
      </w:r>
      <w:r>
        <w:t>s, interpretation, manuscript preparation or the decision to publish. If no relevant competing interests or external funding exist, this must be stated.</w:t>
      </w:r>
    </w:p>
    <w:p w:rsidR="00176FDD" w:rsidRDefault="00152660">
      <w:pPr>
        <w:keepLines/>
        <w:rPr>
          <w:rFonts w:hint="eastAsia"/>
        </w:rPr>
      </w:pPr>
      <w:r>
        <w:t>Editors and reviewers must promptly disclose potential conflicts and recuse themselves whenever indepen</w:t>
      </w:r>
      <w:r>
        <w:t>dent judgement could reasonably be questioned. Editorial independence is maintained regardless of the journal’s Diamond Open Access financing by the Knowledge Society Institute; no submission, review, processing or publication fee is charged. Disclosure do</w:t>
      </w:r>
      <w:r>
        <w:t>es not automatically imply misconduct, but concealing a material conflict may require investigation or correction.</w:t>
      </w:r>
    </w:p>
    <w:p w:rsidR="00176FDD" w:rsidRDefault="00152660">
      <w:pPr>
        <w:pStyle w:val="KSISection"/>
        <w:keepLines/>
        <w:rPr>
          <w:rFonts w:hint="eastAsia"/>
        </w:rPr>
      </w:pPr>
      <w:r>
        <w:t>7. Peer-review integrity and submissions from editors</w:t>
      </w:r>
    </w:p>
    <w:p w:rsidR="00176FDD" w:rsidRDefault="00152660">
      <w:pPr>
        <w:keepLines/>
        <w:rPr>
          <w:rFonts w:hint="eastAsia"/>
        </w:rPr>
      </w:pPr>
      <w:r>
        <w:t>Scholarly articles receive double-anonymous external peer review by at least two qualif</w:t>
      </w:r>
      <w:r>
        <w:t xml:space="preserve">ied, independent reviewers before acceptance. Reviewer identities and unpublished submissions remain confidential. The Editor-in-Chief, or an authorised independent handling editor when a conflict exists, makes the final decision on the basis of scholarly </w:t>
      </w:r>
      <w:r>
        <w:t>assessment; reviewers provide recommendations. The detailed procedures, confidentiality safeguards and appeals route are set out in the Peer Review Policy.</w:t>
      </w:r>
    </w:p>
    <w:p w:rsidR="00176FDD" w:rsidRDefault="00152660">
      <w:pPr>
        <w:keepLines/>
        <w:rPr>
          <w:rFonts w:hint="eastAsia"/>
        </w:rPr>
      </w:pPr>
      <w:r>
        <w:t>Manuscripts authored by the Editor-in-Chief, members of the editorial team or board, reviewers, gues</w:t>
      </w:r>
      <w:r>
        <w:t>t editors or close editorial associates receive no preferential treatment. A conflicted editor must not select reviewers, access the confidential handling process in an editorial capacity or decide the outcome; an appropriately qualified unconflicted edito</w:t>
      </w:r>
      <w:r>
        <w:t>r manages the manuscript from submission to final decision. In each of the two latest issues, research articles with at least one author who is an editor, board member or journal reviewer must not exceed 25% of research articles published in that issue. Sp</w:t>
      </w:r>
      <w:r>
        <w:t>ecial issues follow the same standards; guest-editor submissions are assessed independently and must not exceed 25% of the relevant special issue, as provided in the Peer Review Policy.</w:t>
      </w:r>
    </w:p>
    <w:p w:rsidR="00176FDD" w:rsidRDefault="00152660">
      <w:pPr>
        <w:pStyle w:val="KSISection"/>
        <w:keepLines/>
        <w:rPr>
          <w:rFonts w:hint="eastAsia"/>
        </w:rPr>
      </w:pPr>
      <w:r>
        <w:t>8. Generative AI and automated research tools</w:t>
      </w:r>
    </w:p>
    <w:p w:rsidR="00176FDD" w:rsidRDefault="00152660">
      <w:pPr>
        <w:keepLines/>
        <w:rPr>
          <w:rFonts w:hint="eastAsia"/>
        </w:rPr>
      </w:pPr>
      <w:r>
        <w:t>Authors may use generati</w:t>
      </w:r>
      <w:r>
        <w:t>ve artificial intelligence (AI) tools for routine language editing, including spelling, grammar, punctuation, syntax, clarity, terminology consistency and stylistic improvements, without a separate disclosure in the published article, provided that the sci</w:t>
      </w:r>
      <w:r>
        <w:t>entific meaning, arguments, methods, findings and conclusions remain unchanged. No quantitative limit is set for such editing: the distinction depends on the nature and intellectual significance of the changes, not the proportion of the manuscript edited.</w:t>
      </w:r>
    </w:p>
    <w:p w:rsidR="00176FDD" w:rsidRDefault="00152660">
      <w:pPr>
        <w:rPr>
          <w:rFonts w:hint="eastAsia"/>
        </w:rPr>
      </w:pPr>
      <w:r>
        <w:t>Authors must disclose substantive AI use, including AI-assisted generation of text, analyses, code, data interpretations or images. Translation of the entire manuscript or any substantial part of it using generative AI, and substantial AI-assisted rewritin</w:t>
      </w:r>
      <w:r>
        <w:t>g of an abstract, section or manuscript, must be declared even if the authors consider that the scientific meaning has been preserved. The declaration must identify the tool and describe the purpose and scope of its use in the relevant manuscript section o</w:t>
      </w:r>
      <w:r>
        <w:t>r acknowledgement; AI use materially affecting research methods or results must also be reported in the methods. Authors remain fully responsible for accuracy, originality, attribution, scholarly validity, legal compliance and verification of all AI-assist</w:t>
      </w:r>
      <w:r>
        <w:t>ed content, including references and data. AI systems cannot be credited as authors, and AI-generated output must not be presented as an independent scholarly source.</w:t>
      </w:r>
    </w:p>
    <w:p w:rsidR="00176FDD" w:rsidRDefault="00152660">
      <w:pPr>
        <w:keepLines/>
        <w:rPr>
          <w:rFonts w:hint="eastAsia"/>
        </w:rPr>
      </w:pPr>
      <w:r>
        <w:t>Editors and reviewers must not upload confidential submitted manuscripts, unpublished dat</w:t>
      </w:r>
      <w:r>
        <w:t>a or review correspondence to public or third-party generative-AI systems, nor use those systems to generate peer-review reports or editorial decisions. Any journal-authorised automated checks must protect confidential material, be appropriately tested and</w:t>
      </w:r>
      <w:r>
        <w:t xml:space="preserve"> be verified by a responsible human editor. Routine editorial uses of automated tools will be disclosed where applicable. Where there are reasonable grounds for concern about AI involvement, the editorial office may request clarification or supporting draf</w:t>
      </w:r>
      <w:r>
        <w:t>ts. No automated similarity score or AI-detection result alone establishes misconduct.</w:t>
      </w:r>
    </w:p>
    <w:p w:rsidR="00176FDD" w:rsidRDefault="00152660">
      <w:pPr>
        <w:pStyle w:val="KSISection"/>
        <w:keepLines/>
        <w:rPr>
          <w:rFonts w:hint="eastAsia"/>
        </w:rPr>
      </w:pPr>
      <w:r>
        <w:lastRenderedPageBreak/>
        <w:t>9. Allegations of misconduct and evidence-based assessment</w:t>
      </w:r>
    </w:p>
    <w:p w:rsidR="00176FDD" w:rsidRDefault="00152660">
      <w:pPr>
        <w:keepLines/>
        <w:rPr>
          <w:rFonts w:hint="eastAsia"/>
        </w:rPr>
      </w:pPr>
      <w:r>
        <w:t>Suspected plagiarism, paper-mill submissions, compromised peer review, fabricated or falsified data, image man</w:t>
      </w:r>
      <w:r>
        <w:t xml:space="preserve">ipulation, undisclosed conflicts, unethical participant research, disputed authorship and other serious concerns may be raised before or after publication by authors, reviewers, readers or other parties. Reports, including substantiated anonymous reports, </w:t>
      </w:r>
      <w:r>
        <w:t>may be submitted to office@tksi.org with the relevant manuscript or article details and available supporting evidence. Individuals raising concerns in good faith are treated respectfully; the journal will not dismiss a credible concern solely because the r</w:t>
      </w:r>
      <w:r>
        <w:t>eporter is anonymous.</w:t>
      </w:r>
    </w:p>
    <w:p w:rsidR="00176FDD" w:rsidRDefault="00152660">
      <w:pPr>
        <w:keepLines/>
        <w:rPr>
          <w:rFonts w:hint="eastAsia"/>
        </w:rPr>
      </w:pPr>
      <w:r>
        <w:t>The editorial office makes an initial assessment, preserves relevant evidence and, as appropriate, asks the affected authors or other parties for an explanation before reaching a conclusion. Investigations are proportionate, confident</w:t>
      </w:r>
      <w:r>
        <w:t>ial where possible and free of prejudgement; disclosures to institutions, publishers or other journals are made when necessary and lawful. Editors may follow relevant COPE flowcharts and guidance and may request investigation by the responsible research in</w:t>
      </w:r>
      <w:r>
        <w:t>stitution. Possible outcomes include no action, requests for clarification, rejection of a submission, or a post-publication notice under the Corrections and Retractions Policy.</w:t>
      </w:r>
    </w:p>
    <w:p w:rsidR="00176FDD" w:rsidRDefault="00152660">
      <w:pPr>
        <w:pStyle w:val="KSISection"/>
        <w:keepLines/>
        <w:rPr>
          <w:rFonts w:hint="eastAsia"/>
        </w:rPr>
      </w:pPr>
      <w:r>
        <w:t>10. Complaints, appeals and post-publication discussion</w:t>
      </w:r>
    </w:p>
    <w:p w:rsidR="00176FDD" w:rsidRDefault="00152660">
      <w:pPr>
        <w:keepLines/>
        <w:rPr>
          <w:rFonts w:hint="eastAsia"/>
        </w:rPr>
      </w:pPr>
      <w:r>
        <w:t>Complaints about edito</w:t>
      </w:r>
      <w:r>
        <w:t xml:space="preserve">rial conduct, peer-review procedure or the handling of ethical concerns, and appeals alleging a substantive factual or procedural error in an editorial decision, may be sent to office@tksi.org. The editorial office acknowledges and assesses the matter and </w:t>
      </w:r>
      <w:r>
        <w:t>assigns it, where practicable, to an editor not involved in the contested decision. Complaints involving the Editor-in-Chief are referred to an independent, unconflicted editorial-board member. The complainant is informed of the reasoned outcome within a r</w:t>
      </w:r>
      <w:r>
        <w:t>easonable period, subject to confidentiality and procedural fairness.</w:t>
      </w:r>
    </w:p>
    <w:p w:rsidR="00176FDD" w:rsidRDefault="00152660">
      <w:pPr>
        <w:keepLines/>
        <w:rPr>
          <w:rFonts w:hint="eastAsia"/>
        </w:rPr>
      </w:pPr>
      <w:r>
        <w:t>An appeal does not automatically trigger a second round of external peer review. Readers may also submit evidence-based comments or concerns about published work through the same contact</w:t>
      </w:r>
      <w:r>
        <w:t xml:space="preserve"> address. The journal considers appropriate corrections, author responses, discussions or formal notices while safeguarding confidential material and personal information. Disagreement over an interpretation alone does not establish misconduct.</w:t>
      </w:r>
    </w:p>
    <w:p w:rsidR="00176FDD" w:rsidRDefault="00152660">
      <w:pPr>
        <w:pStyle w:val="KSISection"/>
        <w:keepLines/>
        <w:rPr>
          <w:rFonts w:hint="eastAsia"/>
        </w:rPr>
      </w:pPr>
      <w:r>
        <w:t>11. Correct</w:t>
      </w:r>
      <w:r>
        <w:t>ions, retractions and the published record</w:t>
      </w:r>
    </w:p>
    <w:p w:rsidR="00176FDD" w:rsidRDefault="00152660">
      <w:pPr>
        <w:keepLines/>
        <w:rPr>
          <w:rFonts w:hint="eastAsia"/>
        </w:rPr>
      </w:pPr>
      <w:r>
        <w:t>Authors who identify a significant error in their published work must inform the journal promptly and cooperate in clarifying its impact. When supported by the evidence, the journal may issue a correction, express</w:t>
      </w:r>
      <w:r>
        <w:t>ion of concern or retraction under its separate Corrections and Retractions Policy. Notices are clearly labelled, dated, linked to the affected article and explain the reason to an appropriate degree; the published record is not silently altered. A retract</w:t>
      </w:r>
      <w:r>
        <w:t>ion addresses the reliability of the literature and does not, by itself, prove deliberate misconduct.</w:t>
      </w:r>
    </w:p>
    <w:p w:rsidR="00176FDD" w:rsidRDefault="00152660">
      <w:pPr>
        <w:keepLines/>
        <w:rPr>
          <w:rFonts w:hint="eastAsia"/>
        </w:rPr>
      </w:pPr>
      <w:r>
        <w:t>Copyright and licence terms are governed by the Copyright and Licensing Policy; published articles under the current Open Access Policy use CC BY 4.0, sub</w:t>
      </w:r>
      <w:r>
        <w:t>ject to identified third-party exceptions. Post-publication action does not silently revoke permissions already validly granted under that licence. Preservation of the scholarly record follows the Digital Preservation and Archiving Policy.</w:t>
      </w:r>
    </w:p>
    <w:p w:rsidR="00176FDD" w:rsidRDefault="00152660">
      <w:pPr>
        <w:pStyle w:val="KSISection"/>
        <w:keepLines/>
        <w:rPr>
          <w:rFonts w:hint="eastAsia"/>
        </w:rPr>
      </w:pPr>
      <w:r>
        <w:t>12. Effective da</w:t>
      </w:r>
      <w:r>
        <w:t>te, responsibilities and review</w:t>
      </w:r>
    </w:p>
    <w:p w:rsidR="00176FDD" w:rsidRDefault="00152660">
      <w:pPr>
        <w:keepLines/>
        <w:rPr>
          <w:rFonts w:hint="eastAsia"/>
        </w:rPr>
      </w:pPr>
      <w:r>
        <w:t>This policy takes effect on 1 January 202</w:t>
      </w:r>
      <w:r w:rsidR="00D32A5F">
        <w:t>6</w:t>
      </w:r>
      <w:bookmarkStart w:id="0" w:name="_GoBack"/>
      <w:bookmarkEnd w:id="0"/>
      <w:r>
        <w:t xml:space="preserve"> and applies to submissions received from that date. Ethical concerns affecting earlier publications may also be considered to protect the reliability of the scholarly record, taking</w:t>
      </w:r>
      <w:r>
        <w:t xml:space="preserve"> account of the standards, evidence and rights applicable to those publications. The editorial office maintains restricted-access records of declarations, relevant decisions, investigations and outcomes, in accordance with applicable data-protection requir</w:t>
      </w:r>
      <w:r>
        <w:t>ements.</w:t>
      </w:r>
    </w:p>
    <w:p w:rsidR="00176FDD" w:rsidRDefault="00152660">
      <w:pPr>
        <w:keepLines/>
        <w:rPr>
          <w:rFonts w:hint="eastAsia"/>
        </w:rPr>
      </w:pPr>
      <w:r>
        <w:t>The Editor-in-Chief and the publisher are responsible for keeping the policy accessible on the journal website, ensuring that procedures are implemented and reviewing the policy when important ethical or publishing standards change. Revisions are d</w:t>
      </w:r>
      <w:r>
        <w:t>ated and published transparently. Editorial responsibility for any particular manuscript is assigned to an independent editor whenever a conflict of interest arises.</w:t>
      </w:r>
    </w:p>
    <w:p w:rsidR="00176FDD" w:rsidRDefault="00152660">
      <w:pPr>
        <w:pStyle w:val="KSISection"/>
        <w:keepLines/>
        <w:rPr>
          <w:rFonts w:hint="eastAsia"/>
        </w:rPr>
      </w:pPr>
      <w:r>
        <w:t>Contact and professional guidance</w:t>
      </w:r>
    </w:p>
    <w:p w:rsidR="00176FDD" w:rsidRDefault="00152660">
      <w:pPr>
        <w:keepLines/>
        <w:rPr>
          <w:rFonts w:hint="eastAsia"/>
        </w:rPr>
      </w:pPr>
      <w:r>
        <w:t>Publication ethics, integrity concerns, complaints and a</w:t>
      </w:r>
      <w:r>
        <w:t>ppeals: office@tksi.org</w:t>
      </w:r>
    </w:p>
    <w:p w:rsidR="00176FDD" w:rsidRDefault="00152660">
      <w:pPr>
        <w:keepLines/>
        <w:rPr>
          <w:rFonts w:hint="eastAsia"/>
        </w:rPr>
      </w:pPr>
      <w:r>
        <w:t>COPE — Core Practices: https://publicationethics.org/core-practices</w:t>
      </w:r>
    </w:p>
    <w:p w:rsidR="00176FDD" w:rsidRDefault="00152660">
      <w:pPr>
        <w:keepLines/>
        <w:rPr>
          <w:rFonts w:hint="eastAsia"/>
        </w:rPr>
      </w:pPr>
      <w:r>
        <w:t>DOAJ — Guide to Applying: https://doaj.org/apply/guide/</w:t>
      </w:r>
    </w:p>
    <w:p w:rsidR="00176FDD" w:rsidRDefault="00152660">
      <w:pPr>
        <w:keepLines/>
        <w:rPr>
          <w:rFonts w:hint="eastAsia"/>
        </w:rPr>
      </w:pPr>
      <w:r>
        <w:t>DOAJ — Principles of Transparency and Best Practice: https://doaj.org/apply/transparency/</w:t>
      </w:r>
    </w:p>
    <w:p w:rsidR="00176FDD" w:rsidRDefault="00152660">
      <w:pPr>
        <w:keepLines/>
        <w:rPr>
          <w:rFonts w:hint="eastAsia"/>
        </w:rPr>
      </w:pPr>
      <w:r>
        <w:t>ICMJE — Use of Art</w:t>
      </w:r>
      <w:r>
        <w:t>ificial Intelligence in Publishing: https://www.icmje.org/recommendations/browse/artificial-intelligence/</w:t>
      </w:r>
    </w:p>
    <w:sectPr w:rsidR="00176FDD" w:rsidSect="00034616">
      <w:headerReference w:type="default" r:id="rId8"/>
      <w:footerReference w:type="default" r:id="rId9"/>
      <w:pgSz w:w="11909" w:h="16834"/>
      <w:pgMar w:top="1138" w:right="1310" w:bottom="1094" w:left="1310" w:header="518" w:footer="54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660" w:rsidRDefault="00152660">
      <w:pPr>
        <w:spacing w:after="0" w:line="240" w:lineRule="auto"/>
        <w:rPr>
          <w:rFonts w:hint="eastAsia"/>
        </w:rPr>
      </w:pPr>
      <w:r>
        <w:separator/>
      </w:r>
    </w:p>
  </w:endnote>
  <w:endnote w:type="continuationSeparator" w:id="0">
    <w:p w:rsidR="00152660" w:rsidRDefault="0015266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FDD" w:rsidRDefault="00152660">
    <w:pPr>
      <w:pStyle w:val="Footer"/>
      <w:jc w:val="center"/>
      <w:rPr>
        <w:rFonts w:hint="eastAsia"/>
      </w:rPr>
    </w:pPr>
    <w:r>
      <w:rPr>
        <w:color w:val="536576"/>
        <w:sz w:val="16"/>
      </w:rPr>
      <w:t xml:space="preserve">KNOWLEDGE SOCIETY INSTITUTE    |    </w:t>
    </w:r>
    <w:r>
      <w:rPr>
        <w:color w:val="536576"/>
        <w:sz w:val="16"/>
      </w:rPr>
      <w:t>www.tksi.org    |    office@tksi.org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660" w:rsidRDefault="00152660">
      <w:pPr>
        <w:spacing w:after="0" w:line="240" w:lineRule="auto"/>
        <w:rPr>
          <w:rFonts w:hint="eastAsia"/>
        </w:rPr>
      </w:pPr>
      <w:r>
        <w:separator/>
      </w:r>
    </w:p>
  </w:footnote>
  <w:footnote w:type="continuationSeparator" w:id="0">
    <w:p w:rsidR="00152660" w:rsidRDefault="00152660">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6FDD" w:rsidRDefault="00152660">
    <w:pPr>
      <w:pStyle w:val="KSILabel"/>
      <w:jc w:val="right"/>
      <w:rPr>
        <w:rFonts w:hint="eastAsia"/>
      </w:rPr>
    </w:pPr>
    <w:r>
      <w:t>KSI  /  TRANSACTIONS ON KNOWLEDGE SOCIETY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52660"/>
    <w:rsid w:val="00176FDD"/>
    <w:rsid w:val="0029639D"/>
    <w:rsid w:val="00326F90"/>
    <w:rsid w:val="00AA1D8D"/>
    <w:rsid w:val="00B47730"/>
    <w:rsid w:val="00CB0664"/>
    <w:rsid w:val="00D32A5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F6B889BD-4627-4091-AB0C-910464D78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20" w:line="251" w:lineRule="auto"/>
    </w:pPr>
    <w:rPr>
      <w:rFonts w:ascii="Aptos" w:hAnsi="Aptos"/>
      <w:color w:val="212B35"/>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SILabel">
    <w:name w:val="KSI Label"/>
    <w:pPr>
      <w:keepNext/>
      <w:spacing w:after="180"/>
    </w:pPr>
    <w:rPr>
      <w:rFonts w:ascii="Aptos" w:hAnsi="Aptos"/>
      <w:b/>
      <w:color w:val="286D88"/>
      <w:sz w:val="18"/>
    </w:rPr>
  </w:style>
  <w:style w:type="paragraph" w:customStyle="1" w:styleId="KSITitle">
    <w:name w:val="KSI Title"/>
    <w:pPr>
      <w:keepNext/>
      <w:spacing w:after="140"/>
    </w:pPr>
    <w:rPr>
      <w:rFonts w:ascii="Aptos" w:hAnsi="Aptos"/>
      <w:b/>
      <w:color w:val="173852"/>
      <w:sz w:val="46"/>
    </w:rPr>
  </w:style>
  <w:style w:type="paragraph" w:customStyle="1" w:styleId="KSISubtitle">
    <w:name w:val="KSI Subtitle"/>
    <w:pPr>
      <w:keepNext/>
      <w:spacing w:after="300"/>
    </w:pPr>
    <w:rPr>
      <w:rFonts w:ascii="Aptos" w:hAnsi="Aptos"/>
      <w:color w:val="536576"/>
      <w:sz w:val="20"/>
    </w:rPr>
  </w:style>
  <w:style w:type="paragraph" w:customStyle="1" w:styleId="KSILead">
    <w:name w:val="KSI Lead"/>
    <w:pPr>
      <w:keepNext/>
      <w:spacing w:after="160"/>
    </w:pPr>
    <w:rPr>
      <w:rFonts w:ascii="Aptos" w:hAnsi="Aptos"/>
      <w:color w:val="173852"/>
      <w:sz w:val="19"/>
    </w:rPr>
  </w:style>
  <w:style w:type="paragraph" w:customStyle="1" w:styleId="KSISection">
    <w:name w:val="KSI Section"/>
    <w:pPr>
      <w:keepNext/>
      <w:spacing w:before="130" w:after="60"/>
    </w:pPr>
    <w:rPr>
      <w:rFonts w:ascii="Aptos" w:hAnsi="Aptos"/>
      <w:b/>
      <w:color w:val="173852"/>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9CC8A8-374E-4531-8F24-8304FE767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2345</Words>
  <Characters>13370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15684</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Publication Ethics — KSI Transactions on Knowledge Society</dc:title>
  <dc:subject>Proposed publication ethics policy aligned with DOAJ and COPE guidance</dc:subject>
  <dc:creator>Knowledge Society Institute</dc:creator>
  <cp:keywords>KSI; DOAJ; COPE; Publication Ethics; Authorship; AI; Research Integrity</cp:keywords>
  <dc:description/>
  <cp:lastModifiedBy>PC 7</cp:lastModifiedBy>
  <cp:revision>2</cp:revision>
  <dcterms:created xsi:type="dcterms:W3CDTF">2013-12-23T23:15:00Z</dcterms:created>
  <dcterms:modified xsi:type="dcterms:W3CDTF">2026-10-19T11:54:00Z</dcterms:modified>
  <cp:category/>
</cp:coreProperties>
</file>